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742A4" w14:textId="77777777" w:rsidR="009C7E9A" w:rsidRDefault="009C7E9A" w:rsidP="009C7E9A">
      <w:pPr>
        <w:ind w:right="-427"/>
        <w:rPr>
          <w:rFonts w:ascii="Arial" w:hAnsi="Arial" w:cs="Arial"/>
          <w:b/>
          <w:bCs/>
          <w:color w:val="002060"/>
        </w:rPr>
      </w:pPr>
      <w:r>
        <w:rPr>
          <w:rFonts w:ascii="Arial" w:hAnsi="Arial" w:cs="Arial"/>
          <w:b/>
          <w:bCs/>
          <w:color w:val="002060"/>
        </w:rPr>
        <w:t>SECCION A:</w:t>
      </w:r>
    </w:p>
    <w:p w14:paraId="02E4864B" w14:textId="77777777" w:rsidR="009C7E9A" w:rsidRDefault="009C7E9A" w:rsidP="009C7E9A">
      <w:pPr>
        <w:tabs>
          <w:tab w:val="left" w:leader="dot" w:pos="5954"/>
        </w:tabs>
        <w:spacing w:before="120"/>
        <w:ind w:right="-255"/>
        <w:jc w:val="center"/>
        <w:rPr>
          <w:rFonts w:ascii="Arial" w:hAnsi="Arial" w:cs="Arial"/>
          <w:b/>
          <w:bCs/>
          <w:color w:val="002060"/>
        </w:rPr>
      </w:pPr>
      <w:r>
        <w:rPr>
          <w:rFonts w:ascii="Arial" w:hAnsi="Arial" w:cs="Arial"/>
          <w:b/>
          <w:bCs/>
          <w:color w:val="002060"/>
        </w:rPr>
        <w:t>Carta de Presentación</w:t>
      </w:r>
      <w:r>
        <w:rPr>
          <w:rStyle w:val="Refdenotaalpie"/>
          <w:b/>
          <w:bCs/>
          <w:color w:val="002060"/>
        </w:rPr>
        <w:footnoteReference w:id="1"/>
      </w:r>
    </w:p>
    <w:p w14:paraId="14009044" w14:textId="77777777" w:rsidR="009C7E9A" w:rsidRDefault="009C7E9A" w:rsidP="009C7E9A">
      <w:pPr>
        <w:pStyle w:val="Default"/>
        <w:rPr>
          <w:sz w:val="23"/>
          <w:szCs w:val="23"/>
        </w:rPr>
      </w:pPr>
    </w:p>
    <w:p w14:paraId="74AB29D7" w14:textId="77777777" w:rsidR="009C7E9A" w:rsidRDefault="009C7E9A" w:rsidP="009C7E9A">
      <w:pPr>
        <w:pStyle w:val="Default"/>
        <w:jc w:val="both"/>
        <w:rPr>
          <w:color w:val="auto"/>
          <w:sz w:val="20"/>
          <w:szCs w:val="20"/>
        </w:rPr>
      </w:pPr>
      <w:r>
        <w:rPr>
          <w:color w:val="auto"/>
          <w:sz w:val="20"/>
          <w:szCs w:val="20"/>
        </w:rPr>
        <w:t>En Prima AFP nos encontramos comprometidos con la promoción e implementación de los más altos estándares de gobierno corporativo. Todos nuestros colaboradores están adheridos a los principios de integridad, respeto y transparencia, los cuales forman parte de nuestra cultura organizacional y fomentan la confianza de nuestros accionistas y grupos de interés. Nuestra visión, misión, código de ética y políticas internas recogen estos principios.</w:t>
      </w:r>
    </w:p>
    <w:p w14:paraId="6571033B" w14:textId="77777777" w:rsidR="009C7E9A" w:rsidRDefault="009C7E9A" w:rsidP="009C7E9A">
      <w:pPr>
        <w:pStyle w:val="Default"/>
        <w:jc w:val="both"/>
        <w:rPr>
          <w:color w:val="auto"/>
          <w:sz w:val="20"/>
          <w:szCs w:val="20"/>
        </w:rPr>
      </w:pPr>
    </w:p>
    <w:p w14:paraId="3B95DE74" w14:textId="77777777" w:rsidR="009C7E9A" w:rsidRDefault="009C7E9A" w:rsidP="009C7E9A">
      <w:pPr>
        <w:pStyle w:val="Default"/>
        <w:jc w:val="both"/>
        <w:rPr>
          <w:color w:val="auto"/>
          <w:sz w:val="20"/>
          <w:szCs w:val="20"/>
        </w:rPr>
      </w:pPr>
      <w:r>
        <w:rPr>
          <w:color w:val="auto"/>
          <w:sz w:val="20"/>
          <w:szCs w:val="20"/>
        </w:rPr>
        <w:t xml:space="preserve">Nuestras prácticas de gobierno corporativo han logrado construir una relación de confianza entre nuestros grupos de interés y nos han ayudado a obtener mayores ventajas competitivas, permitiéndonos alcanzar un mejor rendimiento, así como sentar las bases para un crecimiento sostenible y rentable, contribuyendo a crear mayor valor para nuestros accionistas. </w:t>
      </w:r>
    </w:p>
    <w:p w14:paraId="7F83D0D1" w14:textId="77777777" w:rsidR="009C7E9A" w:rsidRDefault="009C7E9A" w:rsidP="009C7E9A">
      <w:pPr>
        <w:pStyle w:val="Default"/>
        <w:jc w:val="both"/>
        <w:rPr>
          <w:color w:val="auto"/>
          <w:sz w:val="20"/>
          <w:szCs w:val="20"/>
        </w:rPr>
      </w:pPr>
    </w:p>
    <w:p w14:paraId="7EEEE978" w14:textId="77777777" w:rsidR="009C7E9A" w:rsidRPr="002A5C01" w:rsidRDefault="009C7E9A" w:rsidP="009C7E9A">
      <w:pPr>
        <w:pStyle w:val="Default"/>
        <w:jc w:val="both"/>
        <w:rPr>
          <w:color w:val="000000" w:themeColor="text1"/>
          <w:sz w:val="20"/>
          <w:szCs w:val="20"/>
        </w:rPr>
      </w:pPr>
      <w:r>
        <w:rPr>
          <w:color w:val="auto"/>
          <w:sz w:val="20"/>
          <w:szCs w:val="20"/>
        </w:rPr>
        <w:t xml:space="preserve">Dado que Prima AFP es uno de los principales inversionistas institucionales en el Perú mantenemos el compromiso de fomentar que las compañías que forman parte de nuestro portafolio adopten políticas y prácticas de inversiones responsables que contribuyan en mejorar el desempeño financiero corporativo de mediano y largo plazo. Por esta razón, desde el 2016 somos miembros del </w:t>
      </w:r>
      <w:r w:rsidRPr="002A5C01">
        <w:rPr>
          <w:color w:val="000000" w:themeColor="text1"/>
          <w:sz w:val="20"/>
          <w:szCs w:val="20"/>
        </w:rPr>
        <w:t xml:space="preserve">Programa de Inversión Responsable (PIR) y participamos activamente en los grupos de trabajo con el fin de promocionar la inversión responsable y sostenible en el Perú. </w:t>
      </w:r>
    </w:p>
    <w:p w14:paraId="2E7F9110" w14:textId="77777777" w:rsidR="009C7E9A" w:rsidRPr="002A5C01" w:rsidRDefault="009C7E9A" w:rsidP="009C7E9A">
      <w:pPr>
        <w:pStyle w:val="Default"/>
        <w:jc w:val="both"/>
        <w:rPr>
          <w:color w:val="000000" w:themeColor="text1"/>
          <w:sz w:val="20"/>
          <w:szCs w:val="20"/>
        </w:rPr>
      </w:pPr>
    </w:p>
    <w:p w14:paraId="6EECDF03"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 xml:space="preserve">Asimismo, desde inicios del 2019, Prima AFP se convirtió en signatario del </w:t>
      </w:r>
      <w:proofErr w:type="spellStart"/>
      <w:r w:rsidRPr="002A5C01">
        <w:rPr>
          <w:rFonts w:ascii="Arial" w:hAnsi="Arial" w:cs="Arial"/>
          <w:color w:val="000000" w:themeColor="text1"/>
          <w:sz w:val="20"/>
          <w:szCs w:val="20"/>
        </w:rPr>
        <w:t>Principles</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of</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Responsible</w:t>
      </w:r>
      <w:proofErr w:type="spellEnd"/>
      <w:r w:rsidRPr="002A5C01">
        <w:rPr>
          <w:rFonts w:ascii="Arial" w:hAnsi="Arial" w:cs="Arial"/>
          <w:color w:val="000000" w:themeColor="text1"/>
          <w:sz w:val="20"/>
          <w:szCs w:val="20"/>
        </w:rPr>
        <w:t xml:space="preserve"> </w:t>
      </w:r>
      <w:proofErr w:type="spellStart"/>
      <w:r w:rsidRPr="002A5C01">
        <w:rPr>
          <w:rFonts w:ascii="Arial" w:hAnsi="Arial" w:cs="Arial"/>
          <w:color w:val="000000" w:themeColor="text1"/>
          <w:sz w:val="20"/>
          <w:szCs w:val="20"/>
        </w:rPr>
        <w:t>Investments</w:t>
      </w:r>
      <w:proofErr w:type="spellEnd"/>
      <w:r w:rsidRPr="002A5C01">
        <w:rPr>
          <w:rFonts w:ascii="Arial" w:hAnsi="Arial" w:cs="Arial"/>
          <w:color w:val="000000" w:themeColor="text1"/>
          <w:sz w:val="20"/>
          <w:szCs w:val="20"/>
        </w:rPr>
        <w:t xml:space="preserve"> (PRI), organización global líder de las inversiones responsables, cuya finalidad es impulsar a los inversionistas institucionales globales a integrar en sus procesos de inversión los factores Ambientales, Sociales y de Gobierno Corporativo. </w:t>
      </w:r>
    </w:p>
    <w:p w14:paraId="10346BE1" w14:textId="77777777" w:rsidR="009C7E9A" w:rsidRPr="002A5C01" w:rsidRDefault="009C7E9A" w:rsidP="009C7E9A">
      <w:pPr>
        <w:spacing w:line="240" w:lineRule="auto"/>
        <w:jc w:val="both"/>
        <w:rPr>
          <w:rFonts w:ascii="Arial" w:hAnsi="Arial" w:cs="Arial"/>
          <w:color w:val="000000" w:themeColor="text1"/>
          <w:sz w:val="20"/>
          <w:szCs w:val="20"/>
        </w:rPr>
      </w:pPr>
      <w:r w:rsidRPr="002A5C01">
        <w:rPr>
          <w:rFonts w:ascii="Arial" w:hAnsi="Arial" w:cs="Arial"/>
          <w:color w:val="000000" w:themeColor="text1"/>
          <w:sz w:val="20"/>
          <w:szCs w:val="20"/>
        </w:rPr>
        <w:t>Como parte de la estrategia de Inversiones Responsables, Prima AFP mantiene un rol activo en el que promueve las buenas prácticas en temas de Gobierno Corporativo, entre otros, a través de la votación en juntas y el relacionamiento. Consideramos que el rol activo agrega valor al desempeño financiero de largo plazo y va en línea con el objetivo de maximizar el retorno ajustado por riesgo.</w:t>
      </w:r>
    </w:p>
    <w:p w14:paraId="496DA269" w14:textId="77777777" w:rsidR="002E2604" w:rsidRDefault="002E2604" w:rsidP="002E2604"/>
    <w:p w14:paraId="0DFC70A9" w14:textId="77777777" w:rsidR="002E2604" w:rsidRDefault="002E2604" w:rsidP="002E2604"/>
    <w:p w14:paraId="287AC70E" w14:textId="77777777" w:rsidR="002E2604" w:rsidRDefault="002E2604" w:rsidP="002E2604"/>
    <w:p w14:paraId="09333EC1" w14:textId="375E9D8C" w:rsidR="002E2604" w:rsidRDefault="002E2604" w:rsidP="002E2604"/>
    <w:p w14:paraId="43CEC3C6" w14:textId="6E395A72" w:rsidR="00C462DD" w:rsidRDefault="00C462DD" w:rsidP="002E2604"/>
    <w:p w14:paraId="294FA740" w14:textId="6FD00203" w:rsidR="00C462DD" w:rsidRDefault="00C462DD" w:rsidP="002E2604"/>
    <w:p w14:paraId="19EA1D09" w14:textId="4568A422" w:rsidR="00C462DD" w:rsidRDefault="00C462DD" w:rsidP="002E2604"/>
    <w:p w14:paraId="75A1B1C0" w14:textId="77777777" w:rsidR="002E2604" w:rsidRDefault="002E2604" w:rsidP="002E2604"/>
    <w:p w14:paraId="572D0B75" w14:textId="77777777" w:rsidR="00F15477" w:rsidRDefault="00F15477" w:rsidP="00F15477">
      <w:pPr>
        <w:tabs>
          <w:tab w:val="left" w:leader="dot" w:pos="5954"/>
        </w:tabs>
        <w:rPr>
          <w:rFonts w:ascii="Arial" w:hAnsi="Arial" w:cs="Arial"/>
          <w:b/>
          <w:bCs/>
          <w:color w:val="002060"/>
        </w:rPr>
      </w:pPr>
      <w:r>
        <w:rPr>
          <w:rFonts w:ascii="Arial" w:hAnsi="Arial" w:cs="Arial"/>
          <w:b/>
          <w:bCs/>
          <w:color w:val="002060"/>
        </w:rPr>
        <w:lastRenderedPageBreak/>
        <w:t>SECCIÓN D:</w:t>
      </w:r>
    </w:p>
    <w:p w14:paraId="2C61F16C" w14:textId="714413F4" w:rsidR="004A66CB" w:rsidRPr="00317098" w:rsidRDefault="00F15477" w:rsidP="00317098">
      <w:pPr>
        <w:tabs>
          <w:tab w:val="left" w:leader="dot" w:pos="5954"/>
        </w:tabs>
        <w:spacing w:before="120"/>
        <w:jc w:val="center"/>
        <w:rPr>
          <w:rFonts w:ascii="Arial" w:hAnsi="Arial" w:cs="Arial"/>
          <w:b/>
          <w:bCs/>
          <w:color w:val="002060"/>
        </w:rPr>
      </w:pPr>
      <w:r>
        <w:rPr>
          <w:rFonts w:ascii="Arial" w:hAnsi="Arial" w:cs="Arial"/>
          <w:b/>
          <w:bCs/>
          <w:color w:val="002060"/>
        </w:rPr>
        <w:t xml:space="preserve">Otra información de interés </w:t>
      </w:r>
      <w:r>
        <w:rPr>
          <w:rStyle w:val="Refdenotaalpie"/>
          <w:rFonts w:ascii="Arial" w:hAnsi="Arial" w:cs="Arial"/>
          <w:b/>
          <w:bCs/>
          <w:color w:val="002060"/>
        </w:rPr>
        <w:footnoteReference w:id="2"/>
      </w:r>
    </w:p>
    <w:p w14:paraId="14C5CAA7" w14:textId="45CA725C" w:rsidR="00AE5EB5" w:rsidRDefault="00AE5EB5"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254"/>
        <w:gridCol w:w="406"/>
        <w:gridCol w:w="639"/>
        <w:gridCol w:w="290"/>
        <w:gridCol w:w="196"/>
      </w:tblGrid>
      <w:tr w:rsidR="00350879" w:rsidRPr="00350879" w14:paraId="505D2E25" w14:textId="77777777" w:rsidTr="00350879">
        <w:trPr>
          <w:trHeight w:val="250"/>
        </w:trPr>
        <w:tc>
          <w:tcPr>
            <w:tcW w:w="196" w:type="dxa"/>
            <w:tcBorders>
              <w:top w:val="nil"/>
              <w:left w:val="nil"/>
              <w:bottom w:val="nil"/>
              <w:right w:val="nil"/>
            </w:tcBorders>
            <w:shd w:val="clear" w:color="000000" w:fill="FFFFFF"/>
            <w:vAlign w:val="center"/>
            <w:hideMark/>
          </w:tcPr>
          <w:p w14:paraId="5DB3690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46D0B930" w14:textId="13189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Pr>
                <w:rFonts w:ascii="Arial" w:eastAsia="Times New Roman" w:hAnsi="Arial" w:cs="Arial"/>
                <w:color w:val="000000"/>
                <w:sz w:val="20"/>
                <w:szCs w:val="20"/>
                <w:lang w:eastAsia="es-PE"/>
              </w:rPr>
              <w:t>5</w:t>
            </w:r>
          </w:p>
        </w:tc>
      </w:tr>
      <w:tr w:rsidR="00350879" w:rsidRPr="00350879" w14:paraId="51A6C25D" w14:textId="77777777" w:rsidTr="00350879">
        <w:trPr>
          <w:trHeight w:val="250"/>
        </w:trPr>
        <w:tc>
          <w:tcPr>
            <w:tcW w:w="196" w:type="dxa"/>
            <w:tcBorders>
              <w:top w:val="nil"/>
              <w:left w:val="nil"/>
              <w:bottom w:val="nil"/>
              <w:right w:val="nil"/>
            </w:tcBorders>
            <w:shd w:val="clear" w:color="000000" w:fill="FFFFFF"/>
            <w:noWrap/>
            <w:vAlign w:val="bottom"/>
            <w:hideMark/>
          </w:tcPr>
          <w:p w14:paraId="21C014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E9561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729823EA" w14:textId="20EC58A1" w:rsidR="00350879" w:rsidRPr="00350879" w:rsidRDefault="00350879" w:rsidP="00350879">
            <w:pPr>
              <w:spacing w:after="0" w:line="240" w:lineRule="auto"/>
              <w:rPr>
                <w:rFonts w:ascii="Calibri" w:eastAsia="Times New Roman" w:hAnsi="Calibri" w:cs="Calibri"/>
                <w:color w:val="000000"/>
                <w:sz w:val="16"/>
                <w:szCs w:val="16"/>
                <w:lang w:eastAsia="es-PE"/>
              </w:rPr>
            </w:pPr>
            <w:r w:rsidRPr="001D3F06">
              <w:rPr>
                <w:rFonts w:ascii="Calibri" w:eastAsia="Times New Roman" w:hAnsi="Calibri" w:cs="Calibri"/>
                <w:sz w:val="16"/>
                <w:szCs w:val="16"/>
                <w:lang w:eastAsia="es-PE"/>
              </w:rPr>
              <w:t xml:space="preserve">Comité de </w:t>
            </w:r>
            <w:proofErr w:type="gramStart"/>
            <w:r w:rsidRPr="001D3F06">
              <w:rPr>
                <w:rFonts w:ascii="Calibri" w:eastAsia="Times New Roman" w:hAnsi="Calibri" w:cs="Calibri"/>
                <w:sz w:val="16"/>
                <w:szCs w:val="16"/>
                <w:lang w:eastAsia="es-PE"/>
              </w:rPr>
              <w:t>Riesgos  -</w:t>
            </w:r>
            <w:proofErr w:type="gramEnd"/>
            <w:r w:rsidRPr="001D3F06">
              <w:rPr>
                <w:rFonts w:ascii="Calibri" w:eastAsia="Times New Roman" w:hAnsi="Calibri" w:cs="Calibri"/>
                <w:sz w:val="16"/>
                <w:szCs w:val="16"/>
                <w:lang w:eastAsia="es-PE"/>
              </w:rPr>
              <w:t xml:space="preserve"> Prima AFP</w:t>
            </w:r>
          </w:p>
        </w:tc>
      </w:tr>
      <w:tr w:rsidR="00350879" w:rsidRPr="00350879" w14:paraId="14162E35" w14:textId="77777777" w:rsidTr="00350879">
        <w:trPr>
          <w:trHeight w:val="250"/>
        </w:trPr>
        <w:tc>
          <w:tcPr>
            <w:tcW w:w="196" w:type="dxa"/>
            <w:tcBorders>
              <w:top w:val="nil"/>
              <w:left w:val="nil"/>
              <w:bottom w:val="nil"/>
              <w:right w:val="nil"/>
            </w:tcBorders>
            <w:shd w:val="clear" w:color="000000" w:fill="FFFFFF"/>
            <w:noWrap/>
            <w:vAlign w:val="bottom"/>
            <w:hideMark/>
          </w:tcPr>
          <w:p w14:paraId="057B5B7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7039A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34614EBB" w14:textId="03880FEB" w:rsidR="00350879" w:rsidRPr="00350879" w:rsidRDefault="00350879" w:rsidP="00350879">
            <w:pPr>
              <w:spacing w:after="0" w:line="240" w:lineRule="auto"/>
              <w:rPr>
                <w:rFonts w:ascii="Calibri" w:eastAsia="Times New Roman" w:hAnsi="Calibri" w:cs="Calibri"/>
                <w:color w:val="000000"/>
                <w:sz w:val="16"/>
                <w:szCs w:val="16"/>
                <w:lang w:eastAsia="es-PE"/>
              </w:rPr>
            </w:pPr>
            <w:r>
              <w:rPr>
                <w:rFonts w:ascii="Calibri" w:eastAsia="Times New Roman" w:hAnsi="Calibri" w:cs="Calibri"/>
                <w:color w:val="000000"/>
                <w:sz w:val="16"/>
                <w:szCs w:val="16"/>
                <w:lang w:eastAsia="es-PE"/>
              </w:rPr>
              <w:t>0</w:t>
            </w:r>
            <w:r w:rsidRPr="001D3F06">
              <w:rPr>
                <w:rFonts w:ascii="Calibri" w:eastAsia="Times New Roman" w:hAnsi="Calibri" w:cs="Calibri"/>
                <w:color w:val="000000"/>
                <w:sz w:val="16"/>
                <w:szCs w:val="16"/>
                <w:lang w:eastAsia="es-PE"/>
              </w:rPr>
              <w:t>8/04/2005</w:t>
            </w:r>
          </w:p>
        </w:tc>
      </w:tr>
      <w:tr w:rsidR="00350879" w:rsidRPr="00350879" w14:paraId="0463E728" w14:textId="77777777" w:rsidTr="00317098">
        <w:trPr>
          <w:trHeight w:val="416"/>
        </w:trPr>
        <w:tc>
          <w:tcPr>
            <w:tcW w:w="196" w:type="dxa"/>
            <w:tcBorders>
              <w:top w:val="nil"/>
              <w:left w:val="nil"/>
              <w:bottom w:val="nil"/>
              <w:right w:val="nil"/>
            </w:tcBorders>
            <w:shd w:val="clear" w:color="000000" w:fill="FFFFFF"/>
            <w:noWrap/>
            <w:vAlign w:val="bottom"/>
            <w:hideMark/>
          </w:tcPr>
          <w:p w14:paraId="31F76BA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EA2C60"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tcPr>
          <w:p w14:paraId="261E7DC9"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-Presentar la propuesta de los objetivos, estrategias, políticas, procedimientos y acciones de la gestión integral de riesgos para aprobación del Directorio y opinar sobre las modificaciones que se realicen, en caso de contar con la delegación expresa del Directorio, el Comité puede aprobar tales propuestas, acciones y/o modificaciones.</w:t>
            </w:r>
          </w:p>
          <w:p w14:paraId="7ACC3D7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-Supervisar la implementación de los objetivos, políticas y procedimientos de las inversiones de las Carteras Administradas aprobados por el Directorio. Dicha supervisión debe quedar documentada.</w:t>
            </w:r>
          </w:p>
          <w:p w14:paraId="085E057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junto con el Comité de Inversiones y elevar para aprobación final del Directorio los indicadores de referencia para la gestión de las Carteras Administradas.</w:t>
            </w:r>
          </w:p>
          <w:p w14:paraId="1A03C7C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elevar para aprobación del Directorio, la declaración de apetito al riesgo.</w:t>
            </w:r>
          </w:p>
          <w:p w14:paraId="1E12C25B"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-Recomendar al Directorio los niveles de tolerancia y apetito de riesgo, en función al objetivo de inversión de cada tipo de fondo, el horizonte de inversión, requerimientos regulatorios, acceso al mercado de capitales, infraestructura y recursos suficientes, idoneidad y capacidad de los funcionarios responsables de la administración de los riesgos de inversión.</w:t>
            </w:r>
          </w:p>
          <w:p w14:paraId="50B6D9F9"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proponer al Directorio las métricas de presupuesto y apetito al Riesgo, así como otros limites internos de exposición a los riesgos de inversión de manera global y por tipo de riesgo, debiendo ser revisados al menos con una periodicidad anual.</w:t>
            </w:r>
          </w:p>
          <w:p w14:paraId="11D5192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al Directorio bandas de riesgos (</w:t>
            </w:r>
            <w:proofErr w:type="spellStart"/>
            <w:r w:rsidRPr="00E95A39">
              <w:rPr>
                <w:rFonts w:ascii="Calibri" w:eastAsia="Times New Roman" w:hAnsi="Calibri" w:cs="Calibri"/>
                <w:sz w:val="16"/>
                <w:szCs w:val="16"/>
                <w:lang w:eastAsia="es-PE"/>
              </w:rPr>
              <w:t>tripwires</w:t>
            </w:r>
            <w:proofErr w:type="spellEnd"/>
            <w:r w:rsidRPr="00E95A39">
              <w:rPr>
                <w:rFonts w:ascii="Calibri" w:eastAsia="Times New Roman" w:hAnsi="Calibri" w:cs="Calibri"/>
                <w:sz w:val="16"/>
                <w:szCs w:val="16"/>
                <w:lang w:eastAsia="es-PE"/>
              </w:rPr>
              <w:t>) o niveles de alerta temprana para evitar incurrir directamente en excesos a limites internos o regulatorios, con el fin de controlar los riesgos de inversión.</w:t>
            </w:r>
          </w:p>
          <w:p w14:paraId="37328BAA"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en forma mensual los indicadores de presupuesto y apetito al riesgo.</w:t>
            </w:r>
          </w:p>
          <w:p w14:paraId="2924CFD4"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-Velar por el cumplimiento de los límites de inversión internos y regulatorios. En caso se exceda estos límites, informar inmediatamente al Directorio de la AFP y al Comité de Inversiones.</w:t>
            </w:r>
          </w:p>
          <w:p w14:paraId="0445AE0B"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y aprobar el plan de acción propuesto por el Gerente de la división de Inversiones y el Gerente de la división de Riesgos, en caso se presente un exceso en el presupuesto o apetito al riesgo en el nivel de alerta del ámbito de su gestión.</w:t>
            </w:r>
          </w:p>
          <w:p w14:paraId="00328E0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el procedimiento para autorizar los excesos temporales a los limites internos establecidos para los distintos tipos de riesgos de inversión, y realizar los ajustes necesarios cuando las condiciones y el entorno así lo requieran, informando al Directorio oportunamente sobre el ejercicio de las referidas facultades y de las medidas correctivas implementadas.</w:t>
            </w:r>
          </w:p>
          <w:p w14:paraId="2E80491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y aprobar mandatos y lineamientos en la gestión de inversiones, así como cualquier modificación a las Políticas de Inversiones de cada una de las carteras administradas por la AFP, y los manuales y/o procedimientos y guías operativas a los que se hacen referencia en dichas Políticas.</w:t>
            </w:r>
          </w:p>
          <w:p w14:paraId="0A80ABF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-Tomar conocimiento de la filosofía de inversión de las carteras administradas.</w:t>
            </w:r>
          </w:p>
          <w:p w14:paraId="0551AB8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y revisar por lo menos anualmente las metodologías, parámetros, modelos y escenarios de estrés a ser utilizados para identificar, medir, analizar, monitorear, limitar, controlar, informar y revelar los riesgos de inversión a las que estén expuestas las carteras administradas; así como comprender y establecer las limitaciones y la incertidumbre relacionada a los resultados de los modelos y el riesgo inherente en su utilización.</w:t>
            </w:r>
          </w:p>
          <w:p w14:paraId="292D0AA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estándares y/o procedimientos para el monitoreo diario de los riesgos de inversión a los que se encuentran expuestas los recursos de las carteras administradas, en función a la naturaleza y complejidad de los instrumentos u operaciones de inversión.</w:t>
            </w:r>
          </w:p>
          <w:p w14:paraId="3FFE17CF"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-Aprobar o delegar a otros comités especializados la aprobación de los nuevos mercados, monedas, agentes intermediarios de operaciones de préstamos valores y operaciones de </w:t>
            </w:r>
            <w:r w:rsidRPr="00E95A39">
              <w:rPr>
                <w:rFonts w:ascii="Calibri" w:eastAsia="Times New Roman" w:hAnsi="Calibri" w:cs="Calibri"/>
                <w:sz w:val="16"/>
                <w:szCs w:val="16"/>
                <w:lang w:eastAsia="es-PE"/>
              </w:rPr>
              <w:lastRenderedPageBreak/>
              <w:t xml:space="preserve">reporte, </w:t>
            </w:r>
            <w:proofErr w:type="spellStart"/>
            <w:r w:rsidRPr="00E95A39">
              <w:rPr>
                <w:rFonts w:ascii="Calibri" w:eastAsia="Times New Roman" w:hAnsi="Calibri" w:cs="Calibri"/>
                <w:sz w:val="16"/>
                <w:szCs w:val="16"/>
                <w:lang w:eastAsia="es-PE"/>
              </w:rPr>
              <w:t>clearer</w:t>
            </w:r>
            <w:proofErr w:type="spellEnd"/>
            <w:r w:rsidRPr="00E95A39">
              <w:rPr>
                <w:rFonts w:ascii="Calibri" w:eastAsia="Times New Roman" w:hAnsi="Calibri" w:cs="Calibri"/>
                <w:sz w:val="16"/>
                <w:szCs w:val="16"/>
                <w:lang w:eastAsia="es-PE"/>
              </w:rPr>
              <w:t xml:space="preserve"> </w:t>
            </w:r>
            <w:proofErr w:type="spellStart"/>
            <w:r w:rsidRPr="00E95A39">
              <w:rPr>
                <w:rFonts w:ascii="Calibri" w:eastAsia="Times New Roman" w:hAnsi="Calibri" w:cs="Calibri"/>
                <w:sz w:val="16"/>
                <w:szCs w:val="16"/>
                <w:lang w:eastAsia="es-PE"/>
              </w:rPr>
              <w:t>brokers</w:t>
            </w:r>
            <w:proofErr w:type="spellEnd"/>
            <w:r w:rsidRPr="00E95A39">
              <w:rPr>
                <w:rFonts w:ascii="Calibri" w:eastAsia="Times New Roman" w:hAnsi="Calibri" w:cs="Calibri"/>
                <w:sz w:val="16"/>
                <w:szCs w:val="16"/>
                <w:lang w:eastAsia="es-PE"/>
              </w:rPr>
              <w:t xml:space="preserve"> y contrapartes, intermediarios de negociación que realizan o no labores de formadores de mercado, emisores, entidades de custodia, mecanismos de negociación electrónica, gestores de fondos mutuos, entre otros.</w:t>
            </w:r>
          </w:p>
          <w:p w14:paraId="11E43F1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-Aprobar los instrumentos u operaciones de inversión según los procedimientos </w:t>
            </w:r>
            <w:proofErr w:type="gramStart"/>
            <w:r w:rsidRPr="00E95A39">
              <w:rPr>
                <w:rFonts w:ascii="Calibri" w:eastAsia="Times New Roman" w:hAnsi="Calibri" w:cs="Calibri"/>
                <w:sz w:val="16"/>
                <w:szCs w:val="16"/>
                <w:lang w:eastAsia="es-PE"/>
              </w:rPr>
              <w:t>establecidos ,</w:t>
            </w:r>
            <w:proofErr w:type="gramEnd"/>
            <w:r w:rsidRPr="00E95A39">
              <w:rPr>
                <w:rFonts w:ascii="Calibri" w:eastAsia="Times New Roman" w:hAnsi="Calibri" w:cs="Calibri"/>
                <w:sz w:val="16"/>
                <w:szCs w:val="16"/>
                <w:lang w:eastAsia="es-PE"/>
              </w:rPr>
              <w:t xml:space="preserve"> y supervisar el resultado del monitoreo de la negociación de instrumentos u operaciones de inversión de las carteras administradas.</w:t>
            </w:r>
          </w:p>
          <w:p w14:paraId="7C53FAA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-Realizar el seguimiento a las recomendaciones realizadas por Riesgo de Inversión al Gerente General y al Comité de Inversiones, con la finalidad de reducir la exposición a los riesgos de inversión.</w:t>
            </w:r>
          </w:p>
          <w:p w14:paraId="3CC33766"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-Vigilar y monitorear el cumplimiento de las políticas, procedimientos, criterios, manuales metodológicos referidos a los criterios de valorización de los diferentes instrumentos u operaciones de inversión; de tal forma que se puedan realizar las impugnaciones en los casos que resulte aplicable.</w:t>
            </w:r>
          </w:p>
          <w:p w14:paraId="28312B62"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-Monitorear la efectividad de las funciones de la gestión de los riesgos de inversión a lo largo de las áreas vinculadas al proceso de inversiones de las carteras administradas.</w:t>
            </w:r>
          </w:p>
          <w:p w14:paraId="015A1497"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-Informar mensualmente al Directorio sobre las medidas correctivas implementadas en el marco de la gestión de los riesgos de inversión, considerando el resultado de las auditorias y las evaluaciones realizadas. Asimismo, debe informar, al Directorio y al Comité de Inversiones, el nivel de exposición al riesgo de las Carteras Administradas, el análisis de riesgo realizado y los posibles efectos negativos asociados, por lo menos mensualmente.</w:t>
            </w:r>
          </w:p>
          <w:p w14:paraId="77D48AFE"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al Directorio, en conjunto con el Dpto. de Cumplimiento, mejoras a la política sobre conflictos de interés relacionadas a la gestión de riesgos de inversión.</w:t>
            </w:r>
          </w:p>
          <w:p w14:paraId="2FE51D93"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reportes de monitoreo de los riesgos de inversión.</w:t>
            </w:r>
          </w:p>
          <w:p w14:paraId="03AC539E"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los planes de contingencia y revisarlos al menos con periodicidad anual.</w:t>
            </w:r>
          </w:p>
          <w:p w14:paraId="0510854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-Delegar autoridad o establecer autonomías para la toma de riesgos y aprobar operaciones de inversión que superen las facultades delegadas a niveles inferiores.</w:t>
            </w:r>
          </w:p>
          <w:p w14:paraId="65D4D292"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-Establecer e implementar políticas y procedimientos necesarios para administrar adecuada y prudentemente los riesgos vinculados a la tecnología de la información relacionados con el proceso de inversión.</w:t>
            </w:r>
          </w:p>
          <w:p w14:paraId="309F2194"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-Proponer mejoras en la Gestión Integral de Riesgos.</w:t>
            </w:r>
          </w:p>
          <w:p w14:paraId="63D7EBE0"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en forma anual el marco por apetito al riesgo de la Administradora para su ratificación en el Comité de Riesgos Credicorp y aprobación del Directorio.</w:t>
            </w:r>
          </w:p>
          <w:p w14:paraId="6D80EAA8"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-Revisar en forma mensual el estatus de los indicadores de apetito al riesgo de la Administradora (tablero de control). En caso de desviaciones, evaluar, otorgar dispensa a los excesos y/o aprobar las acciones para implementar las medidas correctivas pertinentes, </w:t>
            </w:r>
            <w:proofErr w:type="gramStart"/>
            <w:r w:rsidRPr="00E95A39">
              <w:rPr>
                <w:rFonts w:ascii="Calibri" w:eastAsia="Times New Roman" w:hAnsi="Calibri" w:cs="Calibri"/>
                <w:sz w:val="16"/>
                <w:szCs w:val="16"/>
                <w:lang w:eastAsia="es-PE"/>
              </w:rPr>
              <w:t>de acuerdo a</w:t>
            </w:r>
            <w:proofErr w:type="gramEnd"/>
            <w:r w:rsidRPr="00E95A39">
              <w:rPr>
                <w:rFonts w:ascii="Calibri" w:eastAsia="Times New Roman" w:hAnsi="Calibri" w:cs="Calibri"/>
                <w:sz w:val="16"/>
                <w:szCs w:val="16"/>
                <w:lang w:eastAsia="es-PE"/>
              </w:rPr>
              <w:t xml:space="preserve"> las autonomías que le corresponden (proceso de gestión de incumplimientos).</w:t>
            </w:r>
          </w:p>
          <w:p w14:paraId="05B719A8"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-Revisar de forma mensual los planes y avances de la gestión de riesgo de operación, continuidad de negocio, prevención de fraude, ciberseguridad y seguridad de la información.</w:t>
            </w:r>
          </w:p>
          <w:p w14:paraId="5C6007CA"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Aprobar la propuesta realizada por la División de Riesgos de metodologías y herramientas de medición de la atribución de rendimiento y riesgo en términos absolutos y relativos e indicadores de gestión de las carteras administradas, las cuales deben presentar la desagregación por categoría de instrumento y/o factor de riesgo.</w:t>
            </w:r>
          </w:p>
          <w:p w14:paraId="6B17AE57"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la propuesta realiza por la División de Riesgos de los límites internos de exposición al riesgo, medidas preventivas y alertas que permitan monitorear la exposición a los diferentes tipos de riesgos de inversión, así como los responsables de dicho monitoreo. Aprobar la propuesta de planes de acción de ocurrir una exposición que exceda tales límites. Entre dichos límites se considera al menos los siguientes:</w:t>
            </w:r>
          </w:p>
          <w:p w14:paraId="0688374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 xml:space="preserve">Riesgo de mercado: tracking error </w:t>
            </w:r>
            <w:proofErr w:type="gramStart"/>
            <w:r w:rsidRPr="00E95A39">
              <w:rPr>
                <w:rFonts w:ascii="Calibri" w:eastAsia="Times New Roman" w:hAnsi="Calibri" w:cs="Calibri"/>
                <w:sz w:val="16"/>
                <w:szCs w:val="16"/>
                <w:lang w:eastAsia="es-PE"/>
              </w:rPr>
              <w:t>en relación al</w:t>
            </w:r>
            <w:proofErr w:type="gramEnd"/>
            <w:r w:rsidRPr="00E95A39">
              <w:rPr>
                <w:rFonts w:ascii="Calibri" w:eastAsia="Times New Roman" w:hAnsi="Calibri" w:cs="Calibri"/>
                <w:sz w:val="16"/>
                <w:szCs w:val="16"/>
                <w:lang w:eastAsia="es-PE"/>
              </w:rPr>
              <w:t xml:space="preserve"> portafolio de referencia, e, indicador medido como la diferencia entre el peso de un instrumento de inversión en el portafolio y el </w:t>
            </w:r>
            <w:proofErr w:type="spellStart"/>
            <w:r w:rsidRPr="00E95A39">
              <w:rPr>
                <w:rFonts w:ascii="Calibri" w:eastAsia="Times New Roman" w:hAnsi="Calibri" w:cs="Calibri"/>
                <w:sz w:val="16"/>
                <w:szCs w:val="16"/>
                <w:lang w:eastAsia="es-PE"/>
              </w:rPr>
              <w:t>Contribution</w:t>
            </w:r>
            <w:proofErr w:type="spellEnd"/>
            <w:r w:rsidRPr="00E95A39">
              <w:rPr>
                <w:rFonts w:ascii="Calibri" w:eastAsia="Times New Roman" w:hAnsi="Calibri" w:cs="Calibri"/>
                <w:sz w:val="16"/>
                <w:szCs w:val="16"/>
                <w:lang w:eastAsia="es-PE"/>
              </w:rPr>
              <w:t xml:space="preserve"> VaR.</w:t>
            </w:r>
          </w:p>
          <w:p w14:paraId="32BD08B1"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Riesgo de crédito: niveles de pérdida esperada.</w:t>
            </w:r>
          </w:p>
          <w:p w14:paraId="190331B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Riesgo de liquidez: indicadores de liquidez operativa mínimas</w:t>
            </w:r>
          </w:p>
          <w:p w14:paraId="2A97E56C"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el impacto de la integración de los factores ambientales, sociales y de gobierno corporativo en el perfil de riesgo del portafolio, que se son presentados y evaluados por la División de Riesgos.</w:t>
            </w:r>
          </w:p>
          <w:p w14:paraId="204917D5"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-Aprobar cambios en las políticas y manuales de procedimiento de la gestión de riesgo de inversión propuestos por la División de Riesgos para la integración del riesgo medio ambiental, social y de gobierno corporativo, a nivel de portafolio, clase de activo e instrumento u operación de inversión.</w:t>
            </w:r>
          </w:p>
          <w:p w14:paraId="2F2417AD" w14:textId="77777777" w:rsidR="00E95A39" w:rsidRPr="00E95A39" w:rsidRDefault="00E95A39" w:rsidP="00E95A39">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el informe por la División de Riesgos con el resultado del monitoreo de la negociación de instrumentos u operaciones de inversión de las Carteras Administradas.</w:t>
            </w:r>
          </w:p>
          <w:p w14:paraId="61B553FC" w14:textId="2202B121" w:rsidR="00317098" w:rsidRPr="00E95A39" w:rsidRDefault="00E95A39" w:rsidP="00317098">
            <w:pPr>
              <w:spacing w:after="0" w:line="240" w:lineRule="auto"/>
              <w:rPr>
                <w:rFonts w:ascii="Calibri" w:eastAsia="Times New Roman" w:hAnsi="Calibri" w:cs="Calibri"/>
                <w:sz w:val="16"/>
                <w:szCs w:val="16"/>
                <w:lang w:eastAsia="es-PE"/>
              </w:rPr>
            </w:pPr>
            <w:r w:rsidRPr="00E95A39">
              <w:rPr>
                <w:rFonts w:ascii="Calibri" w:eastAsia="Times New Roman" w:hAnsi="Calibri" w:cs="Calibri"/>
                <w:sz w:val="16"/>
                <w:szCs w:val="16"/>
                <w:lang w:eastAsia="es-PE"/>
              </w:rPr>
              <w:t>-Considerar la evaluación realizada por la División de Riesgos que incluye los casos especiales que se presenten en el proceso de asignación de órdenes, a más tardar al día siguiente de su ocurrencia, considerando los procedimientos de autorización y documentación de sustento establecidos por la Unidad de Inversiones.</w:t>
            </w:r>
          </w:p>
        </w:tc>
      </w:tr>
      <w:tr w:rsidR="00350879" w:rsidRPr="00350879" w14:paraId="44A3C2DF" w14:textId="77777777" w:rsidTr="00350879">
        <w:trPr>
          <w:trHeight w:val="250"/>
        </w:trPr>
        <w:tc>
          <w:tcPr>
            <w:tcW w:w="9895" w:type="dxa"/>
            <w:gridSpan w:val="10"/>
            <w:tcBorders>
              <w:top w:val="nil"/>
              <w:left w:val="nil"/>
              <w:bottom w:val="nil"/>
              <w:right w:val="nil"/>
            </w:tcBorders>
            <w:shd w:val="clear" w:color="000000" w:fill="FFFFFF"/>
            <w:noWrap/>
            <w:vAlign w:val="center"/>
            <w:hideMark/>
          </w:tcPr>
          <w:p w14:paraId="61572A81"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5D3217A0" w14:textId="77777777" w:rsidR="008A4A4C" w:rsidRDefault="008A4A4C" w:rsidP="00350879">
            <w:pPr>
              <w:spacing w:after="0" w:line="240" w:lineRule="auto"/>
              <w:jc w:val="center"/>
              <w:rPr>
                <w:rFonts w:ascii="Arial" w:eastAsia="Times New Roman" w:hAnsi="Arial" w:cs="Arial"/>
                <w:color w:val="000000"/>
                <w:sz w:val="20"/>
                <w:szCs w:val="20"/>
                <w:lang w:eastAsia="es-PE"/>
              </w:rPr>
            </w:pPr>
          </w:p>
          <w:p w14:paraId="07A79FA2" w14:textId="6806853B"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F11525" w:rsidRPr="00350879" w14:paraId="4A4850E1" w14:textId="77777777" w:rsidTr="00F11525">
        <w:trPr>
          <w:trHeight w:val="300"/>
        </w:trPr>
        <w:tc>
          <w:tcPr>
            <w:tcW w:w="196" w:type="dxa"/>
            <w:tcBorders>
              <w:top w:val="nil"/>
              <w:left w:val="nil"/>
              <w:bottom w:val="nil"/>
              <w:right w:val="nil"/>
            </w:tcBorders>
            <w:shd w:val="clear" w:color="000000" w:fill="FFFFFF"/>
            <w:noWrap/>
            <w:vAlign w:val="bottom"/>
            <w:hideMark/>
          </w:tcPr>
          <w:p w14:paraId="5977C7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331D3B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0994BD4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2CED9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8A342D9"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28DE4784" w14:textId="77777777" w:rsidTr="00F11525">
        <w:trPr>
          <w:trHeight w:val="420"/>
        </w:trPr>
        <w:tc>
          <w:tcPr>
            <w:tcW w:w="196" w:type="dxa"/>
            <w:tcBorders>
              <w:top w:val="nil"/>
              <w:left w:val="nil"/>
              <w:bottom w:val="nil"/>
              <w:right w:val="nil"/>
            </w:tcBorders>
            <w:shd w:val="clear" w:color="000000" w:fill="FFFFFF"/>
            <w:noWrap/>
            <w:vAlign w:val="bottom"/>
            <w:hideMark/>
          </w:tcPr>
          <w:p w14:paraId="53539D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49D2234B"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1DA0C1E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3B3A68B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4AD12DF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55DD60FA"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F11525" w:rsidRPr="00350879" w14:paraId="28E956D5" w14:textId="77777777" w:rsidTr="00F11525">
        <w:trPr>
          <w:trHeight w:val="300"/>
        </w:trPr>
        <w:tc>
          <w:tcPr>
            <w:tcW w:w="196" w:type="dxa"/>
            <w:tcBorders>
              <w:top w:val="nil"/>
              <w:left w:val="nil"/>
              <w:bottom w:val="nil"/>
              <w:right w:val="nil"/>
            </w:tcBorders>
            <w:shd w:val="clear" w:color="000000" w:fill="FFFFFF"/>
            <w:noWrap/>
            <w:vAlign w:val="bottom"/>
            <w:hideMark/>
          </w:tcPr>
          <w:p w14:paraId="726A4D9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7330AF37" w14:textId="66C2B172"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roofErr w:type="spellStart"/>
            <w:r w:rsidRPr="00577D61">
              <w:rPr>
                <w:color w:val="000000" w:themeColor="text1"/>
                <w:sz w:val="16"/>
                <w:szCs w:val="16"/>
              </w:rPr>
              <w:t>Ruben</w:t>
            </w:r>
            <w:proofErr w:type="spellEnd"/>
            <w:r w:rsidRPr="00577D61">
              <w:rPr>
                <w:color w:val="000000" w:themeColor="text1"/>
                <w:sz w:val="16"/>
                <w:szCs w:val="16"/>
              </w:rPr>
              <w:t xml:space="preserve"> Loaiza Negreiros  </w:t>
            </w:r>
          </w:p>
        </w:tc>
        <w:tc>
          <w:tcPr>
            <w:tcW w:w="1921" w:type="dxa"/>
            <w:tcBorders>
              <w:top w:val="nil"/>
              <w:left w:val="nil"/>
              <w:bottom w:val="single" w:sz="4" w:space="0" w:color="auto"/>
              <w:right w:val="single" w:sz="4" w:space="0" w:color="auto"/>
            </w:tcBorders>
            <w:shd w:val="clear" w:color="000000" w:fill="EBF1DE"/>
            <w:vAlign w:val="center"/>
            <w:hideMark/>
          </w:tcPr>
          <w:p w14:paraId="2DBEC4E5" w14:textId="66865B65"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8/04/2005</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0A945F09" w14:textId="4B6D2EE5"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vAlign w:val="bottom"/>
            <w:hideMark/>
          </w:tcPr>
          <w:p w14:paraId="790E8793" w14:textId="24413F0D"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 xml:space="preserve">Presidente </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3D741228" w14:textId="7CBAFAFD"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Vicepresidente del Directorio</w:t>
            </w:r>
          </w:p>
        </w:tc>
      </w:tr>
      <w:tr w:rsidR="008D0FA3" w:rsidRPr="00350879" w14:paraId="58EEBA26" w14:textId="77777777" w:rsidTr="00F11525">
        <w:trPr>
          <w:trHeight w:val="250"/>
        </w:trPr>
        <w:tc>
          <w:tcPr>
            <w:tcW w:w="196" w:type="dxa"/>
            <w:tcBorders>
              <w:top w:val="nil"/>
              <w:left w:val="nil"/>
              <w:bottom w:val="nil"/>
              <w:right w:val="nil"/>
            </w:tcBorders>
            <w:shd w:val="clear" w:color="000000" w:fill="FFFFFF"/>
            <w:noWrap/>
            <w:vAlign w:val="bottom"/>
          </w:tcPr>
          <w:p w14:paraId="010E1C9A" w14:textId="77777777" w:rsidR="008D0FA3" w:rsidRPr="00350879" w:rsidRDefault="008D0FA3"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156BDF6B" w14:textId="420A1310" w:rsidR="008D0FA3" w:rsidRPr="00577D61" w:rsidRDefault="008D0FA3" w:rsidP="00F11525">
            <w:pPr>
              <w:spacing w:after="0" w:line="240" w:lineRule="auto"/>
              <w:rPr>
                <w:color w:val="000000" w:themeColor="text1"/>
                <w:sz w:val="16"/>
                <w:szCs w:val="16"/>
              </w:rPr>
            </w:pPr>
            <w:r w:rsidRPr="00577D61">
              <w:rPr>
                <w:color w:val="000000" w:themeColor="text1"/>
                <w:sz w:val="16"/>
                <w:szCs w:val="16"/>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6666CA6F" w14:textId="53CC7E4D" w:rsidR="008D0FA3" w:rsidRPr="00577D61" w:rsidRDefault="008D0FA3" w:rsidP="00F11525">
            <w:pPr>
              <w:spacing w:after="0" w:line="240" w:lineRule="auto"/>
              <w:rPr>
                <w:rFonts w:ascii="Calibri" w:hAnsi="Calibri" w:cs="Calibri"/>
                <w:color w:val="000000" w:themeColor="text1"/>
                <w:sz w:val="16"/>
                <w:szCs w:val="16"/>
              </w:rPr>
            </w:pPr>
            <w:r w:rsidRPr="00577D61">
              <w:rPr>
                <w:rFonts w:ascii="Calibri" w:hAnsi="Calibri" w:cs="Calibri"/>
                <w:color w:val="000000" w:themeColor="text1"/>
                <w:sz w:val="16"/>
                <w:szCs w:val="16"/>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071035E" w14:textId="77777777" w:rsidR="008D0FA3" w:rsidRPr="00577D61" w:rsidRDefault="008D0FA3"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A9AF2AE" w14:textId="7CE39B64" w:rsidR="008D0FA3" w:rsidRPr="00577D61" w:rsidRDefault="008D0FA3"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55CECA2" w14:textId="1E047489" w:rsidR="008D0FA3" w:rsidRPr="00577D61" w:rsidRDefault="008D0FA3"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General</w:t>
            </w:r>
          </w:p>
        </w:tc>
      </w:tr>
      <w:tr w:rsidR="00F11525" w:rsidRPr="00350879" w14:paraId="1FB3BFEA" w14:textId="77777777" w:rsidTr="00F11525">
        <w:trPr>
          <w:trHeight w:val="250"/>
        </w:trPr>
        <w:tc>
          <w:tcPr>
            <w:tcW w:w="196" w:type="dxa"/>
            <w:tcBorders>
              <w:top w:val="nil"/>
              <w:left w:val="nil"/>
              <w:bottom w:val="nil"/>
              <w:right w:val="nil"/>
            </w:tcBorders>
            <w:shd w:val="clear" w:color="000000" w:fill="FFFFFF"/>
            <w:noWrap/>
            <w:vAlign w:val="bottom"/>
          </w:tcPr>
          <w:p w14:paraId="604BF80A" w14:textId="77777777" w:rsidR="00F11525" w:rsidRPr="00350879" w:rsidRDefault="00F11525" w:rsidP="00F11525">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tcPr>
          <w:p w14:paraId="5D778E65" w14:textId="6EC4D14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Raúl Pinglo Meza Cuadra</w:t>
            </w:r>
          </w:p>
        </w:tc>
        <w:tc>
          <w:tcPr>
            <w:tcW w:w="1921" w:type="dxa"/>
            <w:tcBorders>
              <w:top w:val="nil"/>
              <w:left w:val="nil"/>
              <w:bottom w:val="single" w:sz="4" w:space="0" w:color="auto"/>
              <w:right w:val="single" w:sz="4" w:space="0" w:color="auto"/>
            </w:tcBorders>
            <w:shd w:val="clear" w:color="000000" w:fill="EBF1DE"/>
            <w:vAlign w:val="center"/>
          </w:tcPr>
          <w:p w14:paraId="4E9E8EB5" w14:textId="0F9E5529"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D5A3AD" w14:textId="77777777"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F4E93C" w14:textId="4835C5CF"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3FA45DEA" w14:textId="183547F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Riesgos</w:t>
            </w:r>
          </w:p>
        </w:tc>
      </w:tr>
      <w:tr w:rsidR="00F11525" w:rsidRPr="00350879" w14:paraId="79828A0A" w14:textId="77777777" w:rsidTr="00F11525">
        <w:trPr>
          <w:trHeight w:val="250"/>
        </w:trPr>
        <w:tc>
          <w:tcPr>
            <w:tcW w:w="196" w:type="dxa"/>
            <w:tcBorders>
              <w:top w:val="nil"/>
              <w:left w:val="nil"/>
              <w:bottom w:val="nil"/>
              <w:right w:val="nil"/>
            </w:tcBorders>
            <w:shd w:val="clear" w:color="000000" w:fill="FFFFFF"/>
            <w:noWrap/>
            <w:vAlign w:val="bottom"/>
            <w:hideMark/>
          </w:tcPr>
          <w:p w14:paraId="1AB4FC1A"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2C38394E" w14:textId="317EEC2A"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 xml:space="preserve">Juan Pablo Noziglia Montjoy </w:t>
            </w:r>
          </w:p>
        </w:tc>
        <w:tc>
          <w:tcPr>
            <w:tcW w:w="1921" w:type="dxa"/>
            <w:tcBorders>
              <w:top w:val="nil"/>
              <w:left w:val="nil"/>
              <w:bottom w:val="single" w:sz="4" w:space="0" w:color="auto"/>
              <w:right w:val="single" w:sz="4" w:space="0" w:color="auto"/>
            </w:tcBorders>
            <w:shd w:val="clear" w:color="000000" w:fill="EBF1DE"/>
            <w:vAlign w:val="center"/>
            <w:hideMark/>
          </w:tcPr>
          <w:p w14:paraId="03FB203C" w14:textId="6B80839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rFonts w:ascii="Calibri" w:hAnsi="Calibri" w:cs="Calibri"/>
                <w:color w:val="000000" w:themeColor="text1"/>
                <w:sz w:val="16"/>
                <w:szCs w:val="16"/>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5410486E" w14:textId="3C45D70E"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0FB78B5E" w14:textId="746E3F82"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0F6A3BBD" w14:textId="4E1FC11C"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Gerente de Inversiones</w:t>
            </w:r>
          </w:p>
        </w:tc>
      </w:tr>
      <w:tr w:rsidR="00F11525" w:rsidRPr="00350879" w14:paraId="56CB0E78" w14:textId="77777777" w:rsidTr="00F11525">
        <w:trPr>
          <w:trHeight w:val="250"/>
        </w:trPr>
        <w:tc>
          <w:tcPr>
            <w:tcW w:w="196" w:type="dxa"/>
            <w:tcBorders>
              <w:top w:val="nil"/>
              <w:left w:val="nil"/>
              <w:bottom w:val="nil"/>
              <w:right w:val="nil"/>
            </w:tcBorders>
            <w:shd w:val="clear" w:color="000000" w:fill="FFFFFF"/>
            <w:noWrap/>
            <w:vAlign w:val="bottom"/>
            <w:hideMark/>
          </w:tcPr>
          <w:p w14:paraId="1FF68D4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hideMark/>
          </w:tcPr>
          <w:p w14:paraId="5097C3EC" w14:textId="144AA13C"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r w:rsidRPr="00577D61">
              <w:rPr>
                <w:color w:val="000000" w:themeColor="text1"/>
                <w:sz w:val="16"/>
                <w:szCs w:val="16"/>
              </w:rPr>
              <w:t>Gonzalo Camargo Cárdenas</w:t>
            </w:r>
          </w:p>
        </w:tc>
        <w:tc>
          <w:tcPr>
            <w:tcW w:w="1921" w:type="dxa"/>
            <w:tcBorders>
              <w:top w:val="nil"/>
              <w:left w:val="nil"/>
              <w:bottom w:val="single" w:sz="4" w:space="0" w:color="auto"/>
              <w:right w:val="single" w:sz="4" w:space="0" w:color="auto"/>
            </w:tcBorders>
            <w:shd w:val="clear" w:color="000000" w:fill="EBF1DE"/>
            <w:vAlign w:val="center"/>
            <w:hideMark/>
          </w:tcPr>
          <w:p w14:paraId="694425B9" w14:textId="765C8C5C" w:rsidR="00F11525" w:rsidRPr="00577D61" w:rsidRDefault="00242A56" w:rsidP="00F11525">
            <w:pPr>
              <w:spacing w:after="0" w:line="240" w:lineRule="auto"/>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01/01/2022</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7668271C" w14:textId="44BAD6D2" w:rsidR="00F11525" w:rsidRPr="00577D61" w:rsidRDefault="00F11525" w:rsidP="00F11525">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14B15582" w14:textId="1CC8AD8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722A2B46" w14:textId="77777777" w:rsidR="00F11525" w:rsidRPr="00577D61" w:rsidRDefault="00F11525" w:rsidP="00F11525">
            <w:pPr>
              <w:spacing w:after="0" w:line="240" w:lineRule="auto"/>
              <w:jc w:val="center"/>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No aplica</w:t>
            </w:r>
          </w:p>
        </w:tc>
      </w:tr>
      <w:tr w:rsidR="00350879" w:rsidRPr="00350879" w14:paraId="6BC57C9E" w14:textId="77777777" w:rsidTr="00F11525">
        <w:trPr>
          <w:trHeight w:val="400"/>
        </w:trPr>
        <w:tc>
          <w:tcPr>
            <w:tcW w:w="196" w:type="dxa"/>
            <w:tcBorders>
              <w:top w:val="nil"/>
              <w:left w:val="nil"/>
              <w:bottom w:val="nil"/>
              <w:right w:val="nil"/>
            </w:tcBorders>
            <w:shd w:val="clear" w:color="000000" w:fill="FFFFFF"/>
            <w:noWrap/>
            <w:vAlign w:val="bottom"/>
            <w:hideMark/>
          </w:tcPr>
          <w:p w14:paraId="46F6FD1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0C59347B"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 xml:space="preserve">% </w:t>
            </w:r>
            <w:proofErr w:type="gramStart"/>
            <w:r w:rsidRPr="00577D61">
              <w:rPr>
                <w:rFonts w:ascii="Arial" w:eastAsia="Times New Roman" w:hAnsi="Arial" w:cs="Arial"/>
                <w:color w:val="000000" w:themeColor="text1"/>
                <w:sz w:val="20"/>
                <w:szCs w:val="20"/>
                <w:lang w:eastAsia="es-PE"/>
              </w:rPr>
              <w:t>Directores</w:t>
            </w:r>
            <w:proofErr w:type="gramEnd"/>
            <w:r w:rsidRPr="00577D61">
              <w:rPr>
                <w:rFonts w:ascii="Arial" w:eastAsia="Times New Roman" w:hAnsi="Arial" w:cs="Arial"/>
                <w:color w:val="000000" w:themeColor="text1"/>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553EF839" w14:textId="3F63CA69" w:rsidR="00350879" w:rsidRPr="00577D61" w:rsidRDefault="00350879" w:rsidP="00350879">
            <w:pPr>
              <w:spacing w:after="0" w:line="240" w:lineRule="auto"/>
              <w:jc w:val="right"/>
              <w:rPr>
                <w:rFonts w:ascii="Calibri" w:eastAsia="Times New Roman" w:hAnsi="Calibri" w:cs="Calibri"/>
                <w:color w:val="000000" w:themeColor="text1"/>
                <w:sz w:val="16"/>
                <w:szCs w:val="16"/>
                <w:lang w:eastAsia="es-PE"/>
              </w:rPr>
            </w:pPr>
            <w:r w:rsidRPr="00577D61">
              <w:rPr>
                <w:rFonts w:ascii="Calibri" w:eastAsia="Times New Roman" w:hAnsi="Calibri" w:cs="Calibri"/>
                <w:color w:val="000000" w:themeColor="text1"/>
                <w:sz w:val="16"/>
                <w:szCs w:val="16"/>
                <w:lang w:eastAsia="es-PE"/>
              </w:rPr>
              <w:t>0</w:t>
            </w:r>
          </w:p>
        </w:tc>
      </w:tr>
      <w:tr w:rsidR="00350879" w:rsidRPr="00350879" w14:paraId="7E129240" w14:textId="77777777" w:rsidTr="00F11525">
        <w:trPr>
          <w:trHeight w:val="250"/>
        </w:trPr>
        <w:tc>
          <w:tcPr>
            <w:tcW w:w="196" w:type="dxa"/>
            <w:tcBorders>
              <w:top w:val="nil"/>
              <w:left w:val="nil"/>
              <w:bottom w:val="nil"/>
              <w:right w:val="nil"/>
            </w:tcBorders>
            <w:shd w:val="clear" w:color="000000" w:fill="FFFFFF"/>
            <w:noWrap/>
            <w:vAlign w:val="bottom"/>
            <w:hideMark/>
          </w:tcPr>
          <w:p w14:paraId="124AB868"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7911CC3" w14:textId="77777777" w:rsidR="00350879" w:rsidRPr="00577D61" w:rsidRDefault="00350879" w:rsidP="00350879">
            <w:pPr>
              <w:spacing w:after="0" w:line="240" w:lineRule="auto"/>
              <w:rPr>
                <w:rFonts w:ascii="Arial" w:eastAsia="Times New Roman" w:hAnsi="Arial" w:cs="Arial"/>
                <w:color w:val="000000" w:themeColor="text1"/>
                <w:sz w:val="20"/>
                <w:szCs w:val="20"/>
                <w:lang w:eastAsia="es-PE"/>
              </w:rPr>
            </w:pPr>
            <w:r w:rsidRPr="00577D61">
              <w:rPr>
                <w:rFonts w:ascii="Arial" w:eastAsia="Times New Roman" w:hAnsi="Arial" w:cs="Arial"/>
                <w:color w:val="000000" w:themeColor="text1"/>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75093A68" w14:textId="34D3352D" w:rsidR="00350879" w:rsidRPr="00577D61" w:rsidRDefault="00350879" w:rsidP="00350879">
            <w:pPr>
              <w:spacing w:after="0" w:line="240" w:lineRule="auto"/>
              <w:jc w:val="right"/>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1</w:t>
            </w:r>
            <w:r w:rsidR="003767D5" w:rsidRPr="004F54B2">
              <w:rPr>
                <w:rFonts w:ascii="Calibri" w:eastAsia="Times New Roman" w:hAnsi="Calibri" w:cs="Calibri"/>
                <w:color w:val="000000" w:themeColor="text1"/>
                <w:sz w:val="16"/>
                <w:szCs w:val="16"/>
                <w:lang w:eastAsia="es-PE"/>
              </w:rPr>
              <w:t>6</w:t>
            </w:r>
          </w:p>
        </w:tc>
      </w:tr>
      <w:tr w:rsidR="00350879" w:rsidRPr="00350879" w14:paraId="775BE601" w14:textId="77777777" w:rsidTr="00F11525">
        <w:trPr>
          <w:trHeight w:val="165"/>
        </w:trPr>
        <w:tc>
          <w:tcPr>
            <w:tcW w:w="196" w:type="dxa"/>
            <w:tcBorders>
              <w:top w:val="nil"/>
              <w:left w:val="nil"/>
              <w:bottom w:val="nil"/>
              <w:right w:val="nil"/>
            </w:tcBorders>
            <w:shd w:val="clear" w:color="000000" w:fill="FFFFFF"/>
            <w:noWrap/>
            <w:vAlign w:val="bottom"/>
            <w:hideMark/>
          </w:tcPr>
          <w:p w14:paraId="2981A5C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DC2696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651D27B"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1C04988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7FBDF6E" w14:textId="77777777" w:rsidTr="00F11525">
        <w:trPr>
          <w:trHeight w:val="260"/>
        </w:trPr>
        <w:tc>
          <w:tcPr>
            <w:tcW w:w="196" w:type="dxa"/>
            <w:tcBorders>
              <w:top w:val="nil"/>
              <w:left w:val="nil"/>
              <w:bottom w:val="nil"/>
              <w:right w:val="nil"/>
            </w:tcBorders>
            <w:shd w:val="clear" w:color="000000" w:fill="FFFFFF"/>
            <w:noWrap/>
            <w:vAlign w:val="bottom"/>
            <w:hideMark/>
          </w:tcPr>
          <w:p w14:paraId="1B939D57"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0907D88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0D0A057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54815577" w14:textId="26EDB21F" w:rsidR="00350879" w:rsidRPr="00350879" w:rsidRDefault="00350879" w:rsidP="00F11525">
            <w:pPr>
              <w:spacing w:after="0" w:line="240" w:lineRule="auto"/>
              <w:rPr>
                <w:rFonts w:ascii="Calibri" w:eastAsia="Times New Roman" w:hAnsi="Calibri" w:cs="Calibri"/>
                <w:color w:val="000000"/>
                <w:sz w:val="20"/>
                <w:szCs w:val="20"/>
                <w:lang w:eastAsia="es-PE"/>
              </w:rPr>
            </w:pPr>
          </w:p>
        </w:tc>
        <w:tc>
          <w:tcPr>
            <w:tcW w:w="406" w:type="dxa"/>
            <w:tcBorders>
              <w:top w:val="nil"/>
              <w:left w:val="nil"/>
              <w:bottom w:val="nil"/>
              <w:right w:val="single" w:sz="4" w:space="0" w:color="auto"/>
            </w:tcBorders>
            <w:shd w:val="clear" w:color="000000" w:fill="FFFFFF"/>
            <w:noWrap/>
            <w:vAlign w:val="bottom"/>
            <w:hideMark/>
          </w:tcPr>
          <w:p w14:paraId="00B893E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440E6D9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8900D6E" w14:textId="10F1CA61"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sidR="00F11525">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496021C2"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39242EFC" w14:textId="77777777" w:rsidTr="00F11525">
        <w:trPr>
          <w:trHeight w:val="150"/>
        </w:trPr>
        <w:tc>
          <w:tcPr>
            <w:tcW w:w="196" w:type="dxa"/>
            <w:tcBorders>
              <w:top w:val="nil"/>
              <w:left w:val="nil"/>
              <w:bottom w:val="nil"/>
              <w:right w:val="nil"/>
            </w:tcBorders>
            <w:shd w:val="clear" w:color="000000" w:fill="FFFFFF"/>
            <w:noWrap/>
            <w:vAlign w:val="bottom"/>
            <w:hideMark/>
          </w:tcPr>
          <w:p w14:paraId="64B72B2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61FFF0E7"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shd w:val="clear" w:color="auto" w:fill="auto"/>
            <w:noWrap/>
            <w:vAlign w:val="bottom"/>
            <w:hideMark/>
          </w:tcPr>
          <w:p w14:paraId="32C9B76B" w14:textId="4CCAAABB"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5520" behindDoc="0" locked="0" layoutInCell="1" allowOverlap="1" wp14:anchorId="76C3886C" wp14:editId="2C04BCC5">
                      <wp:simplePos x="0" y="0"/>
                      <wp:positionH relativeFrom="column">
                        <wp:posOffset>0</wp:posOffset>
                      </wp:positionH>
                      <wp:positionV relativeFrom="paragraph">
                        <wp:posOffset>6350</wp:posOffset>
                      </wp:positionV>
                      <wp:extent cx="12700" cy="177800"/>
                      <wp:effectExtent l="0" t="0" r="25400" b="12700"/>
                      <wp:wrapNone/>
                      <wp:docPr id="23555" name="Rectángulo 23555">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642E1A8" id="Rectángulo 23555" o:spid="_x0000_s1026" style="position:absolute;margin-left:0;margin-top:.5pt;width:1pt;height:14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350879" w:rsidRPr="00350879" w14:paraId="123DF159"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7F8E541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6D608CEA" w14:textId="77777777" w:rsidR="00350879" w:rsidRPr="00350879" w:rsidRDefault="00350879" w:rsidP="00350879">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2C0AE5F2"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C9DC95A" w14:textId="77777777" w:rsidTr="00F11525">
        <w:trPr>
          <w:trHeight w:val="90"/>
        </w:trPr>
        <w:tc>
          <w:tcPr>
            <w:tcW w:w="196" w:type="dxa"/>
            <w:tcBorders>
              <w:top w:val="nil"/>
              <w:left w:val="nil"/>
              <w:bottom w:val="nil"/>
              <w:right w:val="nil"/>
            </w:tcBorders>
            <w:shd w:val="clear" w:color="000000" w:fill="FFFFFF"/>
            <w:noWrap/>
            <w:vAlign w:val="bottom"/>
            <w:hideMark/>
          </w:tcPr>
          <w:p w14:paraId="3C2B4A9F"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63DA7DC4"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5017B765"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E38CD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4A1C275D" w14:textId="77777777" w:rsidTr="00F11525">
        <w:trPr>
          <w:trHeight w:val="260"/>
        </w:trPr>
        <w:tc>
          <w:tcPr>
            <w:tcW w:w="196" w:type="dxa"/>
            <w:tcBorders>
              <w:top w:val="nil"/>
              <w:left w:val="nil"/>
              <w:bottom w:val="nil"/>
              <w:right w:val="nil"/>
            </w:tcBorders>
            <w:shd w:val="clear" w:color="000000" w:fill="FFFFFF"/>
            <w:noWrap/>
            <w:vAlign w:val="bottom"/>
            <w:hideMark/>
          </w:tcPr>
          <w:p w14:paraId="1C42479B"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5C1CAD8"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668F8986"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254"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B9BB757"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406" w:type="dxa"/>
            <w:tcBorders>
              <w:top w:val="nil"/>
              <w:left w:val="nil"/>
              <w:bottom w:val="nil"/>
              <w:right w:val="single" w:sz="4" w:space="0" w:color="auto"/>
            </w:tcBorders>
            <w:shd w:val="clear" w:color="000000" w:fill="FFFFFF"/>
            <w:noWrap/>
            <w:vAlign w:val="bottom"/>
            <w:hideMark/>
          </w:tcPr>
          <w:p w14:paraId="0FD56065"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07DFC9BA"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F4A9F8A" w14:textId="77777777" w:rsidR="00350879" w:rsidRPr="00350879" w:rsidRDefault="00350879" w:rsidP="00350879">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5CD74919"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041FA672" w14:textId="77777777" w:rsidTr="00F11525">
        <w:trPr>
          <w:trHeight w:val="105"/>
        </w:trPr>
        <w:tc>
          <w:tcPr>
            <w:tcW w:w="196" w:type="dxa"/>
            <w:tcBorders>
              <w:top w:val="nil"/>
              <w:left w:val="nil"/>
              <w:bottom w:val="nil"/>
              <w:right w:val="nil"/>
            </w:tcBorders>
            <w:shd w:val="clear" w:color="000000" w:fill="FFFFFF"/>
            <w:noWrap/>
            <w:vAlign w:val="bottom"/>
            <w:hideMark/>
          </w:tcPr>
          <w:p w14:paraId="351EE81D"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7DBB6564"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192DAAC3"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07FCB104"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350879" w:rsidRPr="00350879" w14:paraId="2B29CA49" w14:textId="77777777" w:rsidTr="00350879">
        <w:trPr>
          <w:trHeight w:val="600"/>
        </w:trPr>
        <w:tc>
          <w:tcPr>
            <w:tcW w:w="196" w:type="dxa"/>
            <w:tcBorders>
              <w:top w:val="nil"/>
              <w:left w:val="nil"/>
              <w:bottom w:val="nil"/>
              <w:right w:val="nil"/>
            </w:tcBorders>
            <w:shd w:val="clear" w:color="000000" w:fill="FFFFFF"/>
            <w:noWrap/>
            <w:vAlign w:val="center"/>
            <w:hideMark/>
          </w:tcPr>
          <w:p w14:paraId="4D411B8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noWrap/>
            <w:vAlign w:val="bottom"/>
            <w:hideMark/>
          </w:tcPr>
          <w:p w14:paraId="55CA327B" w14:textId="0427E75C" w:rsidR="00350879" w:rsidRPr="00350879" w:rsidRDefault="00350879" w:rsidP="00350879">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56544" behindDoc="0" locked="0" layoutInCell="1" allowOverlap="1" wp14:anchorId="46559EA1" wp14:editId="217798A6">
                      <wp:simplePos x="0" y="0"/>
                      <wp:positionH relativeFrom="column">
                        <wp:posOffset>3606800</wp:posOffset>
                      </wp:positionH>
                      <wp:positionV relativeFrom="paragraph">
                        <wp:posOffset>25400</wp:posOffset>
                      </wp:positionV>
                      <wp:extent cx="12700" cy="31750"/>
                      <wp:effectExtent l="0" t="0" r="25400" b="25400"/>
                      <wp:wrapNone/>
                      <wp:docPr id="23553" name="Rectángulo 23553">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028510B3" id="Rectángulo 23553" o:spid="_x0000_s1026" style="position:absolute;margin-left:284pt;margin-top:2pt;width:1pt;height: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350879" w:rsidRPr="00350879" w14:paraId="0CBC3AA1" w14:textId="77777777">
              <w:trPr>
                <w:trHeight w:val="600"/>
                <w:tblCellSpacing w:w="0" w:type="dxa"/>
              </w:trPr>
              <w:tc>
                <w:tcPr>
                  <w:tcW w:w="8840" w:type="dxa"/>
                  <w:tcBorders>
                    <w:top w:val="nil"/>
                    <w:left w:val="nil"/>
                    <w:bottom w:val="nil"/>
                    <w:right w:val="nil"/>
                  </w:tcBorders>
                  <w:shd w:val="clear" w:color="000000" w:fill="FFFFFF"/>
                  <w:vAlign w:val="center"/>
                  <w:hideMark/>
                </w:tcPr>
                <w:p w14:paraId="48FF7F1C"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2C21E3B8" w14:textId="77777777" w:rsidR="00350879" w:rsidRPr="00350879" w:rsidRDefault="00350879" w:rsidP="00350879">
            <w:pPr>
              <w:spacing w:after="0" w:line="240" w:lineRule="auto"/>
              <w:rPr>
                <w:rFonts w:ascii="Calibri" w:eastAsia="Times New Roman" w:hAnsi="Calibri" w:cs="Calibri"/>
                <w:color w:val="000000"/>
                <w:lang w:eastAsia="es-PE"/>
              </w:rPr>
            </w:pPr>
          </w:p>
        </w:tc>
      </w:tr>
      <w:tr w:rsidR="00350879" w:rsidRPr="00350879" w14:paraId="670E316E" w14:textId="77777777" w:rsidTr="00350879">
        <w:trPr>
          <w:trHeight w:val="290"/>
        </w:trPr>
        <w:tc>
          <w:tcPr>
            <w:tcW w:w="196" w:type="dxa"/>
            <w:tcBorders>
              <w:top w:val="nil"/>
              <w:left w:val="nil"/>
              <w:bottom w:val="nil"/>
              <w:right w:val="nil"/>
            </w:tcBorders>
            <w:shd w:val="clear" w:color="000000" w:fill="FFFFFF"/>
            <w:noWrap/>
            <w:vAlign w:val="center"/>
            <w:hideMark/>
          </w:tcPr>
          <w:p w14:paraId="7D420E16" w14:textId="77777777" w:rsidR="00350879" w:rsidRPr="00350879" w:rsidRDefault="00350879" w:rsidP="00350879">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6A234B57" w14:textId="77777777" w:rsidR="00350879" w:rsidRPr="00350879" w:rsidRDefault="00350879" w:rsidP="00350879">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350879" w:rsidRPr="00350879" w14:paraId="33F1A062" w14:textId="77777777" w:rsidTr="00350879">
        <w:trPr>
          <w:trHeight w:val="250"/>
        </w:trPr>
        <w:tc>
          <w:tcPr>
            <w:tcW w:w="196" w:type="dxa"/>
            <w:tcBorders>
              <w:top w:val="nil"/>
              <w:left w:val="nil"/>
              <w:bottom w:val="nil"/>
              <w:right w:val="nil"/>
            </w:tcBorders>
            <w:shd w:val="clear" w:color="000000" w:fill="FFFFFF"/>
            <w:noWrap/>
            <w:vAlign w:val="center"/>
            <w:hideMark/>
          </w:tcPr>
          <w:p w14:paraId="268B2739" w14:textId="77777777" w:rsidR="00350879" w:rsidRPr="00350879" w:rsidRDefault="00350879" w:rsidP="00350879">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vAlign w:val="center"/>
            <w:hideMark/>
          </w:tcPr>
          <w:p w14:paraId="436C7C84" w14:textId="77777777" w:rsidR="00350879" w:rsidRPr="00350879" w:rsidRDefault="00350879" w:rsidP="00350879">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02921AE7" w14:textId="1604A79F" w:rsidR="00350879" w:rsidRDefault="00350879" w:rsidP="00F11B45">
      <w:pPr>
        <w:spacing w:after="0" w:line="240" w:lineRule="auto"/>
        <w:jc w:val="center"/>
        <w:rPr>
          <w:rFonts w:ascii="Arial" w:hAnsi="Arial" w:cs="Arial"/>
          <w:color w:val="000000"/>
          <w:sz w:val="20"/>
          <w:szCs w:val="20"/>
        </w:rPr>
      </w:pPr>
    </w:p>
    <w:tbl>
      <w:tblPr>
        <w:tblW w:w="9895" w:type="dxa"/>
        <w:tblCellMar>
          <w:left w:w="70" w:type="dxa"/>
          <w:right w:w="70" w:type="dxa"/>
        </w:tblCellMar>
        <w:tblLook w:val="04A0" w:firstRow="1" w:lastRow="0" w:firstColumn="1" w:lastColumn="0" w:noHBand="0" w:noVBand="1"/>
      </w:tblPr>
      <w:tblGrid>
        <w:gridCol w:w="196"/>
        <w:gridCol w:w="3378"/>
        <w:gridCol w:w="1921"/>
        <w:gridCol w:w="1680"/>
        <w:gridCol w:w="935"/>
        <w:gridCol w:w="417"/>
        <w:gridCol w:w="243"/>
        <w:gridCol w:w="639"/>
        <w:gridCol w:w="290"/>
        <w:gridCol w:w="196"/>
      </w:tblGrid>
      <w:tr w:rsidR="00350879" w:rsidRPr="00350879" w14:paraId="114D46D1" w14:textId="77777777" w:rsidTr="00F11525">
        <w:trPr>
          <w:trHeight w:val="250"/>
        </w:trPr>
        <w:tc>
          <w:tcPr>
            <w:tcW w:w="196" w:type="dxa"/>
            <w:tcBorders>
              <w:top w:val="nil"/>
              <w:left w:val="nil"/>
              <w:bottom w:val="nil"/>
              <w:right w:val="nil"/>
            </w:tcBorders>
            <w:shd w:val="clear" w:color="000000" w:fill="FFFFFF"/>
            <w:vAlign w:val="center"/>
            <w:hideMark/>
          </w:tcPr>
          <w:p w14:paraId="2A9177CE"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9699" w:type="dxa"/>
            <w:gridSpan w:val="9"/>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29ADF2ED" w14:textId="59135FDC"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COMITÉ </w:t>
            </w:r>
            <w:r w:rsidR="00F11525">
              <w:rPr>
                <w:rFonts w:ascii="Arial" w:eastAsia="Times New Roman" w:hAnsi="Arial" w:cs="Arial"/>
                <w:color w:val="000000"/>
                <w:sz w:val="20"/>
                <w:szCs w:val="20"/>
                <w:lang w:eastAsia="es-PE"/>
              </w:rPr>
              <w:t>6</w:t>
            </w:r>
          </w:p>
        </w:tc>
      </w:tr>
      <w:tr w:rsidR="00F11525" w:rsidRPr="00350879" w14:paraId="6AF0FB19" w14:textId="77777777" w:rsidTr="00F11525">
        <w:trPr>
          <w:trHeight w:val="250"/>
        </w:trPr>
        <w:tc>
          <w:tcPr>
            <w:tcW w:w="196" w:type="dxa"/>
            <w:tcBorders>
              <w:top w:val="nil"/>
              <w:left w:val="nil"/>
              <w:bottom w:val="nil"/>
              <w:right w:val="nil"/>
            </w:tcBorders>
            <w:shd w:val="clear" w:color="000000" w:fill="FFFFFF"/>
            <w:noWrap/>
            <w:vAlign w:val="bottom"/>
            <w:hideMark/>
          </w:tcPr>
          <w:p w14:paraId="5CA275CC"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8E03F3"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Denominación del Comité:</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663A703E" w14:textId="58132111"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Comit</w:t>
            </w:r>
            <w:r>
              <w:rPr>
                <w:rFonts w:ascii="Calibri" w:eastAsia="Times New Roman" w:hAnsi="Calibri" w:cs="Calibri"/>
                <w:color w:val="000000"/>
                <w:sz w:val="16"/>
                <w:szCs w:val="16"/>
                <w:lang w:eastAsia="es-PE"/>
              </w:rPr>
              <w:t>é</w:t>
            </w:r>
            <w:r w:rsidRPr="009C7E9A">
              <w:rPr>
                <w:rFonts w:ascii="Calibri" w:eastAsia="Times New Roman" w:hAnsi="Calibri" w:cs="Calibri"/>
                <w:color w:val="000000"/>
                <w:sz w:val="16"/>
                <w:szCs w:val="16"/>
                <w:lang w:eastAsia="es-PE"/>
              </w:rPr>
              <w:t xml:space="preserve"> de Inversiones - Prima AFP</w:t>
            </w:r>
          </w:p>
        </w:tc>
      </w:tr>
      <w:tr w:rsidR="00F11525" w:rsidRPr="00350879" w14:paraId="179C754A" w14:textId="77777777" w:rsidTr="00F11525">
        <w:trPr>
          <w:trHeight w:val="250"/>
        </w:trPr>
        <w:tc>
          <w:tcPr>
            <w:tcW w:w="196" w:type="dxa"/>
            <w:tcBorders>
              <w:top w:val="nil"/>
              <w:left w:val="nil"/>
              <w:bottom w:val="nil"/>
              <w:right w:val="nil"/>
            </w:tcBorders>
            <w:shd w:val="clear" w:color="000000" w:fill="FFFFFF"/>
            <w:noWrap/>
            <w:vAlign w:val="bottom"/>
            <w:hideMark/>
          </w:tcPr>
          <w:p w14:paraId="39DDE299"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4ACC72"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 de creación:</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2091E21F" w14:textId="1FE04E78"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color w:val="000000"/>
                <w:sz w:val="16"/>
                <w:szCs w:val="16"/>
                <w:lang w:eastAsia="es-PE"/>
              </w:rPr>
              <w:t>8/04/2005</w:t>
            </w:r>
          </w:p>
        </w:tc>
      </w:tr>
      <w:tr w:rsidR="00F11525" w:rsidRPr="00350879" w14:paraId="28B4A08C" w14:textId="77777777" w:rsidTr="00F11525">
        <w:trPr>
          <w:trHeight w:val="2950"/>
        </w:trPr>
        <w:tc>
          <w:tcPr>
            <w:tcW w:w="196" w:type="dxa"/>
            <w:tcBorders>
              <w:top w:val="nil"/>
              <w:left w:val="nil"/>
              <w:bottom w:val="nil"/>
              <w:right w:val="nil"/>
            </w:tcBorders>
            <w:shd w:val="clear" w:color="000000" w:fill="FFFFFF"/>
            <w:noWrap/>
            <w:vAlign w:val="bottom"/>
            <w:hideMark/>
          </w:tcPr>
          <w:p w14:paraId="684C49EF"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BD3C8D" w14:textId="77777777" w:rsidR="00F11525" w:rsidRPr="00350879" w:rsidRDefault="00F11525" w:rsidP="00F11525">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Principales funciones:</w:t>
            </w:r>
          </w:p>
        </w:tc>
        <w:tc>
          <w:tcPr>
            <w:tcW w:w="6321" w:type="dxa"/>
            <w:gridSpan w:val="8"/>
            <w:tcBorders>
              <w:top w:val="single" w:sz="4" w:space="0" w:color="auto"/>
              <w:left w:val="nil"/>
              <w:bottom w:val="single" w:sz="4" w:space="0" w:color="auto"/>
              <w:right w:val="single" w:sz="4" w:space="0" w:color="auto"/>
            </w:tcBorders>
            <w:shd w:val="clear" w:color="000000" w:fill="EBF1DE"/>
            <w:vAlign w:val="center"/>
            <w:hideMark/>
          </w:tcPr>
          <w:p w14:paraId="59B3A93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Constituyen sus principales funciones:</w:t>
            </w:r>
          </w:p>
          <w:p w14:paraId="5C7074FB"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-Revisar el marco mensual de la estrategia de inversión en coordinación con el Directorio cuando la normativa lo requiera, sobre la base de las propuestas de la división de Inversiones, en concordancia con los límites legales e internos aplicables.</w:t>
            </w:r>
          </w:p>
          <w:p w14:paraId="6144A9A2"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-Discutir las recomendaciones y ajustes a las estrategias de inversión y oportunidades de inversión específicas.</w:t>
            </w:r>
          </w:p>
          <w:p w14:paraId="222C8DA3" w14:textId="0304FD39"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-Se encargar</w:t>
            </w:r>
            <w:r w:rsidR="00024E81">
              <w:rPr>
                <w:rFonts w:ascii="Calibri" w:eastAsia="Times New Roman" w:hAnsi="Calibri" w:cs="Calibri"/>
                <w:sz w:val="16"/>
                <w:szCs w:val="16"/>
                <w:lang w:eastAsia="es-PE"/>
              </w:rPr>
              <w:t>á</w:t>
            </w:r>
            <w:r w:rsidRPr="009C7E9A">
              <w:rPr>
                <w:rFonts w:ascii="Calibri" w:eastAsia="Times New Roman" w:hAnsi="Calibri" w:cs="Calibri"/>
                <w:sz w:val="16"/>
                <w:szCs w:val="16"/>
                <w:lang w:eastAsia="es-PE"/>
              </w:rPr>
              <w:t xml:space="preserve"> de autorizar los tipos de Instrumentos de Inversión Elegibles y/o subclases de activos en los que las carteras administradas podrán invertir. De manera adicional, si la coyuntura lo requiere, el Comité de Inversiones tendrá la facultad de realizar cambios en la estructura objetivo del fondo.</w:t>
            </w:r>
          </w:p>
          <w:p w14:paraId="22425B4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en: i) porcentajes de Inversión Objetivo, Máximos y Mínimos, </w:t>
            </w:r>
            <w:proofErr w:type="spellStart"/>
            <w:r w:rsidRPr="009C7E9A">
              <w:rPr>
                <w:rFonts w:ascii="Calibri" w:eastAsia="Times New Roman" w:hAnsi="Calibri" w:cs="Calibri"/>
                <w:sz w:val="16"/>
                <w:szCs w:val="16"/>
                <w:lang w:eastAsia="es-PE"/>
              </w:rPr>
              <w:t>ii</w:t>
            </w:r>
            <w:proofErr w:type="spellEnd"/>
            <w:r w:rsidRPr="009C7E9A">
              <w:rPr>
                <w:rFonts w:ascii="Calibri" w:eastAsia="Times New Roman" w:hAnsi="Calibri" w:cs="Calibri"/>
                <w:sz w:val="16"/>
                <w:szCs w:val="16"/>
                <w:lang w:eastAsia="es-PE"/>
              </w:rPr>
              <w:t xml:space="preserve">) Políticas de Inversiones, </w:t>
            </w:r>
            <w:proofErr w:type="spellStart"/>
            <w:r w:rsidRPr="009C7E9A">
              <w:rPr>
                <w:rFonts w:ascii="Calibri" w:eastAsia="Times New Roman" w:hAnsi="Calibri" w:cs="Calibri"/>
                <w:sz w:val="16"/>
                <w:szCs w:val="16"/>
                <w:lang w:eastAsia="es-PE"/>
              </w:rPr>
              <w:t>iii</w:t>
            </w:r>
            <w:proofErr w:type="spellEnd"/>
            <w:r w:rsidRPr="009C7E9A">
              <w:rPr>
                <w:rFonts w:ascii="Calibri" w:eastAsia="Times New Roman" w:hAnsi="Calibri" w:cs="Calibri"/>
                <w:sz w:val="16"/>
                <w:szCs w:val="16"/>
                <w:lang w:eastAsia="es-PE"/>
              </w:rPr>
              <w:t>) manuales procedimientos y guías referidas en las Políticas de Inversiones por Tipo de Fondo.</w:t>
            </w:r>
          </w:p>
          <w:p w14:paraId="66B40A41"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-Encargado de revisar el informe que la </w:t>
            </w:r>
            <w:r>
              <w:rPr>
                <w:rFonts w:ascii="Calibri" w:eastAsia="Times New Roman" w:hAnsi="Calibri" w:cs="Calibri"/>
                <w:sz w:val="16"/>
                <w:szCs w:val="16"/>
                <w:lang w:eastAsia="es-PE"/>
              </w:rPr>
              <w:t>D</w:t>
            </w:r>
            <w:r w:rsidRPr="009C7E9A">
              <w:rPr>
                <w:rFonts w:ascii="Calibri" w:eastAsia="Times New Roman" w:hAnsi="Calibri" w:cs="Calibri"/>
                <w:sz w:val="16"/>
                <w:szCs w:val="16"/>
                <w:lang w:eastAsia="es-PE"/>
              </w:rPr>
              <w:t>ivisión de Inversiones deberá presentar mensualmente. En dicho informe se reportarán las inversiones efectuadas en las Cartera Administradas durante el mes anterior, así como las estrategias adoptadas ante cambios en la coyuntura y expectativas de mercado.</w:t>
            </w:r>
          </w:p>
          <w:p w14:paraId="23FA558D"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las modificaciones a los niveles de autonomía para luego ser ratificada en Directorio y Comité de Riesgos. El Comité de Inversiones </w:t>
            </w:r>
            <w:proofErr w:type="gramStart"/>
            <w:r w:rsidRPr="009C7E9A">
              <w:rPr>
                <w:rFonts w:ascii="Calibri" w:eastAsia="Times New Roman" w:hAnsi="Calibri" w:cs="Calibri"/>
                <w:sz w:val="16"/>
                <w:szCs w:val="16"/>
                <w:lang w:eastAsia="es-PE"/>
              </w:rPr>
              <w:t>aprobara</w:t>
            </w:r>
            <w:proofErr w:type="gramEnd"/>
            <w:r w:rsidRPr="009C7E9A">
              <w:rPr>
                <w:rFonts w:ascii="Calibri" w:eastAsia="Times New Roman" w:hAnsi="Calibri" w:cs="Calibri"/>
                <w:sz w:val="16"/>
                <w:szCs w:val="16"/>
                <w:lang w:eastAsia="es-PE"/>
              </w:rPr>
              <w:t xml:space="preserve"> y podrá limitar autonomías especificas por clase de activo.</w:t>
            </w:r>
          </w:p>
          <w:p w14:paraId="55B0D850"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-Encargado de aprobar las clases de activos y/o activos individuales sujetos de ser prestados, así como susceptibles de ser adquiridos bajo operaciones de reporte.</w:t>
            </w:r>
          </w:p>
          <w:p w14:paraId="7C6769F3"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 xml:space="preserve">-Aprobar el Estratégica </w:t>
            </w:r>
            <w:proofErr w:type="spellStart"/>
            <w:r w:rsidRPr="009C7E9A">
              <w:rPr>
                <w:rFonts w:ascii="Calibri" w:eastAsia="Times New Roman" w:hAnsi="Calibri" w:cs="Calibri"/>
                <w:sz w:val="16"/>
                <w:szCs w:val="16"/>
                <w:lang w:eastAsia="es-PE"/>
              </w:rPr>
              <w:t>Asset</w:t>
            </w:r>
            <w:proofErr w:type="spellEnd"/>
            <w:r w:rsidRPr="009C7E9A">
              <w:rPr>
                <w:rFonts w:ascii="Calibri" w:eastAsia="Times New Roman" w:hAnsi="Calibri" w:cs="Calibri"/>
                <w:sz w:val="16"/>
                <w:szCs w:val="16"/>
                <w:lang w:eastAsia="es-PE"/>
              </w:rPr>
              <w:t xml:space="preserve"> </w:t>
            </w:r>
            <w:proofErr w:type="spellStart"/>
            <w:r w:rsidRPr="009C7E9A">
              <w:rPr>
                <w:rFonts w:ascii="Calibri" w:eastAsia="Times New Roman" w:hAnsi="Calibri" w:cs="Calibri"/>
                <w:sz w:val="16"/>
                <w:szCs w:val="16"/>
                <w:lang w:eastAsia="es-PE"/>
              </w:rPr>
              <w:t>Allocation</w:t>
            </w:r>
            <w:proofErr w:type="spellEnd"/>
            <w:r w:rsidRPr="009C7E9A">
              <w:rPr>
                <w:rFonts w:ascii="Calibri" w:eastAsia="Times New Roman" w:hAnsi="Calibri" w:cs="Calibri"/>
                <w:sz w:val="16"/>
                <w:szCs w:val="16"/>
                <w:lang w:eastAsia="es-PE"/>
              </w:rPr>
              <w:t xml:space="preserve"> (SAA) y revisar el marco de apetito y presupuesto de riesgo.</w:t>
            </w:r>
          </w:p>
          <w:p w14:paraId="265876E8"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lastRenderedPageBreak/>
              <w:t>-Aprobar planes de acción, cuando corresponda, relacionados al proceso de escalamiento de alertas dentro del marco de apetito de riesgo.</w:t>
            </w:r>
          </w:p>
          <w:p w14:paraId="2AD65DDA"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-El Comité de Inversiones podrá autorizar excepciones al cumplimiento de los limites internos por clases de activos, siempre y cuando se encuentren comprendidos dentro de los niveles de apetito de riesgo aprobado por Directorio o regulación.</w:t>
            </w:r>
          </w:p>
          <w:p w14:paraId="7CDB372E"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-Presentar los informes de riesgos, y las opiniones que pueden haberse expresado en los Comités de Riesgos.</w:t>
            </w:r>
          </w:p>
          <w:p w14:paraId="00E0C864" w14:textId="77777777" w:rsidR="00F11525" w:rsidRPr="009C7E9A" w:rsidRDefault="00F11525" w:rsidP="00F11525">
            <w:pPr>
              <w:spacing w:after="0" w:line="240" w:lineRule="auto"/>
              <w:jc w:val="both"/>
              <w:rPr>
                <w:rFonts w:ascii="Calibri" w:eastAsia="Times New Roman" w:hAnsi="Calibri" w:cs="Calibri"/>
                <w:sz w:val="16"/>
                <w:szCs w:val="16"/>
                <w:lang w:eastAsia="es-PE"/>
              </w:rPr>
            </w:pPr>
            <w:r w:rsidRPr="009C7E9A">
              <w:rPr>
                <w:rFonts w:ascii="Calibri" w:eastAsia="Times New Roman" w:hAnsi="Calibri" w:cs="Calibri"/>
                <w:sz w:val="16"/>
                <w:szCs w:val="16"/>
                <w:lang w:eastAsia="es-PE"/>
              </w:rPr>
              <w:t>-Monitorear el cumplimiento de la política de rebalanceo aplicable a cada tipo de fondo.</w:t>
            </w:r>
          </w:p>
          <w:p w14:paraId="63C8C82F" w14:textId="4A744E5D" w:rsidR="00F11525" w:rsidRPr="00350879" w:rsidRDefault="00F11525" w:rsidP="00F11525">
            <w:pPr>
              <w:spacing w:after="0" w:line="240" w:lineRule="auto"/>
              <w:rPr>
                <w:rFonts w:ascii="Calibri" w:eastAsia="Times New Roman" w:hAnsi="Calibri" w:cs="Calibri"/>
                <w:color w:val="000000"/>
                <w:sz w:val="16"/>
                <w:szCs w:val="16"/>
                <w:lang w:eastAsia="es-PE"/>
              </w:rPr>
            </w:pPr>
            <w:r w:rsidRPr="009C7E9A">
              <w:rPr>
                <w:rFonts w:ascii="Calibri" w:eastAsia="Times New Roman" w:hAnsi="Calibri" w:cs="Calibri"/>
                <w:sz w:val="16"/>
                <w:szCs w:val="16"/>
                <w:lang w:eastAsia="es-PE"/>
              </w:rPr>
              <w:t>-Aprobar los procedimientos para la evaluación y monitoreo de los costos, gastos y comisiones generados por las inversiones realizadas en los instrumentos u operaciones de inversión, incluyendo la devolución de impuestos pagados en el exterior por la inversión de las Carteras Administradas y los costos detallados asociados a la inversión en vehículos indirectos.</w:t>
            </w:r>
          </w:p>
        </w:tc>
      </w:tr>
      <w:tr w:rsidR="00350879" w:rsidRPr="00350879" w14:paraId="284651F5" w14:textId="77777777" w:rsidTr="00F11525">
        <w:trPr>
          <w:trHeight w:val="250"/>
        </w:trPr>
        <w:tc>
          <w:tcPr>
            <w:tcW w:w="9895" w:type="dxa"/>
            <w:gridSpan w:val="10"/>
            <w:tcBorders>
              <w:top w:val="nil"/>
              <w:left w:val="nil"/>
              <w:bottom w:val="nil"/>
              <w:right w:val="nil"/>
            </w:tcBorders>
            <w:shd w:val="clear" w:color="000000" w:fill="FFFFFF"/>
            <w:noWrap/>
            <w:vAlign w:val="center"/>
            <w:hideMark/>
          </w:tcPr>
          <w:p w14:paraId="347FDCCC"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lastRenderedPageBreak/>
              <w:t> </w:t>
            </w:r>
          </w:p>
        </w:tc>
      </w:tr>
      <w:tr w:rsidR="00317098" w:rsidRPr="00350879" w14:paraId="20ECE291" w14:textId="77777777" w:rsidTr="00BD3B26">
        <w:trPr>
          <w:trHeight w:val="300"/>
        </w:trPr>
        <w:tc>
          <w:tcPr>
            <w:tcW w:w="196" w:type="dxa"/>
            <w:tcBorders>
              <w:top w:val="nil"/>
              <w:left w:val="nil"/>
              <w:bottom w:val="nil"/>
              <w:right w:val="nil"/>
            </w:tcBorders>
            <w:shd w:val="clear" w:color="000000" w:fill="FFFFFF"/>
            <w:noWrap/>
            <w:vAlign w:val="bottom"/>
            <w:hideMark/>
          </w:tcPr>
          <w:p w14:paraId="2CC2E14C"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B49EA6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Miembros del Comité </w:t>
            </w:r>
            <w:r w:rsidRPr="00350879">
              <w:rPr>
                <w:rFonts w:ascii="Arial" w:eastAsia="Times New Roman" w:hAnsi="Arial" w:cs="Arial"/>
                <w:color w:val="000000"/>
                <w:sz w:val="20"/>
                <w:szCs w:val="20"/>
                <w:vertAlign w:val="superscript"/>
                <w:lang w:eastAsia="es-PE"/>
              </w:rPr>
              <w:t>(*)</w:t>
            </w:r>
            <w:r w:rsidRPr="00350879">
              <w:rPr>
                <w:rFonts w:ascii="Arial" w:eastAsia="Times New Roman" w:hAnsi="Arial" w:cs="Arial"/>
                <w:color w:val="000000"/>
                <w:sz w:val="20"/>
                <w:szCs w:val="20"/>
                <w:lang w:eastAsia="es-PE"/>
              </w:rPr>
              <w:t>:</w:t>
            </w:r>
            <w:r w:rsidRPr="00350879">
              <w:rPr>
                <w:rFonts w:ascii="Arial" w:eastAsia="Times New Roman" w:hAnsi="Arial" w:cs="Arial"/>
                <w:color w:val="000000"/>
                <w:sz w:val="20"/>
                <w:szCs w:val="20"/>
                <w:lang w:eastAsia="es-PE"/>
              </w:rPr>
              <w:br/>
              <w:t xml:space="preserve">Nombres y Apellidos </w:t>
            </w:r>
          </w:p>
        </w:tc>
        <w:tc>
          <w:tcPr>
            <w:tcW w:w="3601" w:type="dxa"/>
            <w:gridSpan w:val="2"/>
            <w:tcBorders>
              <w:top w:val="single" w:sz="4" w:space="0" w:color="auto"/>
              <w:left w:val="nil"/>
              <w:bottom w:val="single" w:sz="4" w:space="0" w:color="auto"/>
              <w:right w:val="single" w:sz="4" w:space="0" w:color="auto"/>
            </w:tcBorders>
            <w:shd w:val="clear" w:color="000000" w:fill="FFFFFF"/>
            <w:vAlign w:val="center"/>
            <w:hideMark/>
          </w:tcPr>
          <w:p w14:paraId="6DB2BB1F"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Fecha</w:t>
            </w:r>
          </w:p>
        </w:tc>
        <w:tc>
          <w:tcPr>
            <w:tcW w:w="159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7CC19390"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Cargo dentro del Comité</w:t>
            </w:r>
          </w:p>
        </w:tc>
        <w:tc>
          <w:tcPr>
            <w:tcW w:w="1125"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946EC88" w14:textId="77777777" w:rsidR="00350879" w:rsidRPr="00350879" w:rsidRDefault="00350879" w:rsidP="00350879">
            <w:pPr>
              <w:spacing w:after="0" w:line="240" w:lineRule="auto"/>
              <w:jc w:val="center"/>
              <w:rPr>
                <w:rFonts w:ascii="Arial" w:eastAsia="Times New Roman" w:hAnsi="Arial" w:cs="Arial"/>
                <w:sz w:val="20"/>
                <w:szCs w:val="20"/>
                <w:lang w:eastAsia="es-PE"/>
              </w:rPr>
            </w:pPr>
            <w:r w:rsidRPr="00350879">
              <w:rPr>
                <w:rFonts w:ascii="Arial" w:eastAsia="Times New Roman" w:hAnsi="Arial" w:cs="Arial"/>
                <w:sz w:val="20"/>
                <w:szCs w:val="20"/>
                <w:lang w:eastAsia="es-PE"/>
              </w:rPr>
              <w:t>Cargo dentro de la Sociedad</w:t>
            </w:r>
          </w:p>
        </w:tc>
      </w:tr>
      <w:tr w:rsidR="00350879" w:rsidRPr="00350879" w14:paraId="774677CB" w14:textId="77777777" w:rsidTr="00BD3B26">
        <w:trPr>
          <w:trHeight w:val="420"/>
        </w:trPr>
        <w:tc>
          <w:tcPr>
            <w:tcW w:w="196" w:type="dxa"/>
            <w:tcBorders>
              <w:top w:val="nil"/>
              <w:left w:val="nil"/>
              <w:bottom w:val="nil"/>
              <w:right w:val="nil"/>
            </w:tcBorders>
            <w:shd w:val="clear" w:color="000000" w:fill="FFFFFF"/>
            <w:noWrap/>
            <w:vAlign w:val="bottom"/>
            <w:hideMark/>
          </w:tcPr>
          <w:p w14:paraId="3ABCA141" w14:textId="77777777" w:rsidR="00350879" w:rsidRPr="00350879" w:rsidRDefault="00350879" w:rsidP="00350879">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vMerge/>
            <w:tcBorders>
              <w:top w:val="nil"/>
              <w:left w:val="nil"/>
              <w:bottom w:val="nil"/>
              <w:right w:val="nil"/>
            </w:tcBorders>
            <w:vAlign w:val="center"/>
            <w:hideMark/>
          </w:tcPr>
          <w:p w14:paraId="71830683"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921" w:type="dxa"/>
            <w:tcBorders>
              <w:top w:val="nil"/>
              <w:left w:val="nil"/>
              <w:bottom w:val="single" w:sz="4" w:space="0" w:color="auto"/>
              <w:right w:val="single" w:sz="4" w:space="0" w:color="auto"/>
            </w:tcBorders>
            <w:shd w:val="clear" w:color="000000" w:fill="FFFFFF"/>
            <w:vAlign w:val="center"/>
            <w:hideMark/>
          </w:tcPr>
          <w:p w14:paraId="4A9DCFDE"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Inicio </w:t>
            </w:r>
            <w:r w:rsidRPr="00350879">
              <w:rPr>
                <w:rFonts w:ascii="Arial" w:eastAsia="Times New Roman" w:hAnsi="Arial" w:cs="Arial"/>
                <w:color w:val="000000"/>
                <w:sz w:val="20"/>
                <w:szCs w:val="20"/>
                <w:vertAlign w:val="superscript"/>
                <w:lang w:eastAsia="es-PE"/>
              </w:rPr>
              <w:t>(**)</w:t>
            </w:r>
          </w:p>
        </w:tc>
        <w:tc>
          <w:tcPr>
            <w:tcW w:w="1680" w:type="dxa"/>
            <w:tcBorders>
              <w:top w:val="single" w:sz="4" w:space="0" w:color="auto"/>
              <w:left w:val="nil"/>
              <w:bottom w:val="single" w:sz="4" w:space="0" w:color="auto"/>
              <w:right w:val="single" w:sz="4" w:space="0" w:color="auto"/>
            </w:tcBorders>
            <w:shd w:val="clear" w:color="000000" w:fill="FFFFFF"/>
            <w:vAlign w:val="center"/>
            <w:hideMark/>
          </w:tcPr>
          <w:p w14:paraId="233C504A" w14:textId="77777777" w:rsidR="00350879" w:rsidRPr="00350879" w:rsidRDefault="00350879" w:rsidP="00350879">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Término </w:t>
            </w:r>
            <w:r w:rsidRPr="00350879">
              <w:rPr>
                <w:rFonts w:ascii="Arial" w:eastAsia="Times New Roman" w:hAnsi="Arial" w:cs="Arial"/>
                <w:color w:val="000000"/>
                <w:sz w:val="20"/>
                <w:szCs w:val="20"/>
                <w:vertAlign w:val="superscript"/>
                <w:lang w:eastAsia="es-PE"/>
              </w:rPr>
              <w:t>(***)</w:t>
            </w:r>
          </w:p>
        </w:tc>
        <w:tc>
          <w:tcPr>
            <w:tcW w:w="1595" w:type="dxa"/>
            <w:gridSpan w:val="3"/>
            <w:vMerge/>
            <w:tcBorders>
              <w:top w:val="single" w:sz="4" w:space="0" w:color="auto"/>
              <w:left w:val="single" w:sz="4" w:space="0" w:color="auto"/>
              <w:bottom w:val="single" w:sz="4" w:space="0" w:color="000000"/>
              <w:right w:val="single" w:sz="4" w:space="0" w:color="000000"/>
            </w:tcBorders>
            <w:vAlign w:val="center"/>
            <w:hideMark/>
          </w:tcPr>
          <w:p w14:paraId="5BE0FC26" w14:textId="77777777" w:rsidR="00350879" w:rsidRPr="00350879" w:rsidRDefault="00350879" w:rsidP="00350879">
            <w:pPr>
              <w:spacing w:after="0" w:line="240" w:lineRule="auto"/>
              <w:rPr>
                <w:rFonts w:ascii="Arial" w:eastAsia="Times New Roman" w:hAnsi="Arial" w:cs="Arial"/>
                <w:color w:val="000000"/>
                <w:sz w:val="20"/>
                <w:szCs w:val="20"/>
                <w:lang w:eastAsia="es-PE"/>
              </w:rPr>
            </w:pPr>
          </w:p>
        </w:tc>
        <w:tc>
          <w:tcPr>
            <w:tcW w:w="1125" w:type="dxa"/>
            <w:gridSpan w:val="3"/>
            <w:vMerge/>
            <w:tcBorders>
              <w:top w:val="single" w:sz="4" w:space="0" w:color="auto"/>
              <w:left w:val="single" w:sz="4" w:space="0" w:color="auto"/>
              <w:bottom w:val="single" w:sz="4" w:space="0" w:color="000000"/>
              <w:right w:val="single" w:sz="4" w:space="0" w:color="000000"/>
            </w:tcBorders>
            <w:vAlign w:val="center"/>
            <w:hideMark/>
          </w:tcPr>
          <w:p w14:paraId="613632C4" w14:textId="77777777" w:rsidR="00350879" w:rsidRPr="00350879" w:rsidRDefault="00350879" w:rsidP="00350879">
            <w:pPr>
              <w:spacing w:after="0" w:line="240" w:lineRule="auto"/>
              <w:rPr>
                <w:rFonts w:ascii="Arial" w:eastAsia="Times New Roman" w:hAnsi="Arial" w:cs="Arial"/>
                <w:sz w:val="20"/>
                <w:szCs w:val="20"/>
                <w:lang w:eastAsia="es-PE"/>
              </w:rPr>
            </w:pPr>
          </w:p>
        </w:tc>
      </w:tr>
      <w:tr w:rsidR="00317098" w:rsidRPr="00350879" w14:paraId="242310FE" w14:textId="77777777" w:rsidTr="00BD3B26">
        <w:trPr>
          <w:trHeight w:val="300"/>
        </w:trPr>
        <w:tc>
          <w:tcPr>
            <w:tcW w:w="196" w:type="dxa"/>
            <w:tcBorders>
              <w:top w:val="nil"/>
              <w:left w:val="nil"/>
              <w:bottom w:val="nil"/>
              <w:right w:val="nil"/>
            </w:tcBorders>
            <w:shd w:val="clear" w:color="000000" w:fill="FFFFFF"/>
            <w:noWrap/>
            <w:vAlign w:val="bottom"/>
            <w:hideMark/>
          </w:tcPr>
          <w:p w14:paraId="656EAAD8" w14:textId="77777777" w:rsidR="00317098" w:rsidRPr="00350879" w:rsidRDefault="00317098" w:rsidP="00317098">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619D034C" w14:textId="3A0E0F8B" w:rsidR="00317098" w:rsidRPr="004F54B2" w:rsidRDefault="00317098" w:rsidP="00317098">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 xml:space="preserve">Mario Ignacio </w:t>
            </w:r>
            <w:r w:rsidR="00F76611" w:rsidRPr="004F54B2">
              <w:rPr>
                <w:rFonts w:ascii="Calibri" w:eastAsia="Times New Roman" w:hAnsi="Calibri" w:cs="Calibri"/>
                <w:color w:val="000000" w:themeColor="text1"/>
                <w:sz w:val="16"/>
                <w:szCs w:val="16"/>
                <w:lang w:eastAsia="es-PE"/>
              </w:rPr>
              <w:t>Á</w:t>
            </w:r>
            <w:r w:rsidRPr="004F54B2">
              <w:rPr>
                <w:rFonts w:ascii="Calibri" w:eastAsia="Times New Roman" w:hAnsi="Calibri" w:cs="Calibri"/>
                <w:color w:val="000000" w:themeColor="text1"/>
                <w:sz w:val="16"/>
                <w:szCs w:val="16"/>
                <w:lang w:eastAsia="es-PE"/>
              </w:rPr>
              <w:t>lvarez Avendaño</w:t>
            </w:r>
          </w:p>
        </w:tc>
        <w:tc>
          <w:tcPr>
            <w:tcW w:w="1921" w:type="dxa"/>
            <w:tcBorders>
              <w:top w:val="nil"/>
              <w:left w:val="nil"/>
              <w:bottom w:val="single" w:sz="4" w:space="0" w:color="auto"/>
              <w:right w:val="single" w:sz="4" w:space="0" w:color="auto"/>
            </w:tcBorders>
            <w:shd w:val="clear" w:color="000000" w:fill="EBF1DE"/>
            <w:vAlign w:val="center"/>
            <w:hideMark/>
          </w:tcPr>
          <w:p w14:paraId="5F946ADA" w14:textId="456DF083" w:rsidR="00317098" w:rsidRPr="004F54B2" w:rsidRDefault="00317098" w:rsidP="00317098">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24/09/2015</w:t>
            </w:r>
          </w:p>
        </w:tc>
        <w:tc>
          <w:tcPr>
            <w:tcW w:w="1680" w:type="dxa"/>
            <w:tcBorders>
              <w:top w:val="single" w:sz="4" w:space="0" w:color="auto"/>
              <w:left w:val="nil"/>
              <w:bottom w:val="single" w:sz="4" w:space="0" w:color="auto"/>
              <w:right w:val="single" w:sz="4" w:space="0" w:color="auto"/>
            </w:tcBorders>
            <w:shd w:val="clear" w:color="000000" w:fill="EBF1DE"/>
            <w:vAlign w:val="center"/>
            <w:hideMark/>
          </w:tcPr>
          <w:p w14:paraId="5BD40AC8" w14:textId="2443CC86" w:rsidR="00317098" w:rsidRPr="004F54B2" w:rsidRDefault="00956B5A" w:rsidP="00317098">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31/03/2024</w:t>
            </w:r>
          </w:p>
        </w:tc>
        <w:tc>
          <w:tcPr>
            <w:tcW w:w="1595" w:type="dxa"/>
            <w:gridSpan w:val="3"/>
            <w:tcBorders>
              <w:top w:val="single" w:sz="4" w:space="0" w:color="auto"/>
              <w:left w:val="nil"/>
              <w:bottom w:val="single" w:sz="4" w:space="0" w:color="auto"/>
              <w:right w:val="single" w:sz="4" w:space="0" w:color="000000"/>
            </w:tcBorders>
            <w:shd w:val="clear" w:color="000000" w:fill="EBF1DE"/>
            <w:vAlign w:val="bottom"/>
            <w:hideMark/>
          </w:tcPr>
          <w:p w14:paraId="70AE6F79" w14:textId="0CFDDFC9" w:rsidR="00317098" w:rsidRPr="004F54B2" w:rsidRDefault="00317098" w:rsidP="00317098">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Presidente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6EF76679" w14:textId="7BBCCE5B" w:rsidR="00317098" w:rsidRPr="004F54B2" w:rsidRDefault="00317098" w:rsidP="00317098">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Director independiente</w:t>
            </w:r>
          </w:p>
        </w:tc>
      </w:tr>
      <w:tr w:rsidR="00D12F50" w:rsidRPr="00350879" w14:paraId="6843ABED" w14:textId="77777777" w:rsidTr="00BD3B26">
        <w:trPr>
          <w:trHeight w:val="300"/>
        </w:trPr>
        <w:tc>
          <w:tcPr>
            <w:tcW w:w="196" w:type="dxa"/>
            <w:tcBorders>
              <w:top w:val="nil"/>
              <w:left w:val="nil"/>
              <w:bottom w:val="nil"/>
              <w:right w:val="nil"/>
            </w:tcBorders>
            <w:shd w:val="clear" w:color="000000" w:fill="FFFFFF"/>
            <w:noWrap/>
            <w:vAlign w:val="bottom"/>
          </w:tcPr>
          <w:p w14:paraId="541FAFD3"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574162B2"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Pedro Luis Tirso Grados Smith</w:t>
            </w:r>
          </w:p>
          <w:p w14:paraId="5EA915AE"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921" w:type="dxa"/>
            <w:tcBorders>
              <w:top w:val="nil"/>
              <w:left w:val="nil"/>
              <w:bottom w:val="single" w:sz="4" w:space="0" w:color="auto"/>
              <w:right w:val="single" w:sz="4" w:space="0" w:color="auto"/>
            </w:tcBorders>
            <w:shd w:val="clear" w:color="000000" w:fill="EBF1DE"/>
            <w:vAlign w:val="center"/>
          </w:tcPr>
          <w:p w14:paraId="2D131AB9"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01/04/2024</w:t>
            </w:r>
          </w:p>
          <w:p w14:paraId="17B1A0DC"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680" w:type="dxa"/>
            <w:tcBorders>
              <w:top w:val="single" w:sz="4" w:space="0" w:color="auto"/>
              <w:left w:val="nil"/>
              <w:bottom w:val="single" w:sz="4" w:space="0" w:color="auto"/>
              <w:right w:val="single" w:sz="4" w:space="0" w:color="auto"/>
            </w:tcBorders>
            <w:shd w:val="clear" w:color="000000" w:fill="EBF1DE"/>
            <w:vAlign w:val="center"/>
          </w:tcPr>
          <w:p w14:paraId="1474D9F0"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vAlign w:val="bottom"/>
          </w:tcPr>
          <w:p w14:paraId="61D980A3" w14:textId="0B2445A5"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Presidente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028CCBF" w14:textId="09908B8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Director independiente</w:t>
            </w:r>
          </w:p>
        </w:tc>
      </w:tr>
      <w:tr w:rsidR="00D12F50" w:rsidRPr="00350879" w14:paraId="46A239F4" w14:textId="77777777" w:rsidTr="00BD3B26">
        <w:trPr>
          <w:trHeight w:val="250"/>
        </w:trPr>
        <w:tc>
          <w:tcPr>
            <w:tcW w:w="196" w:type="dxa"/>
            <w:tcBorders>
              <w:top w:val="nil"/>
              <w:left w:val="nil"/>
              <w:bottom w:val="nil"/>
              <w:right w:val="nil"/>
            </w:tcBorders>
            <w:shd w:val="clear" w:color="000000" w:fill="FFFFFF"/>
            <w:noWrap/>
            <w:vAlign w:val="bottom"/>
          </w:tcPr>
          <w:p w14:paraId="15A31BC6"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2D6D2A5C" w14:textId="027ECCC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Raúl German Pinglo Meza Cuadra</w:t>
            </w:r>
          </w:p>
        </w:tc>
        <w:tc>
          <w:tcPr>
            <w:tcW w:w="1921" w:type="dxa"/>
            <w:tcBorders>
              <w:top w:val="nil"/>
              <w:left w:val="nil"/>
              <w:bottom w:val="single" w:sz="4" w:space="0" w:color="auto"/>
              <w:right w:val="single" w:sz="4" w:space="0" w:color="auto"/>
            </w:tcBorders>
            <w:shd w:val="clear" w:color="000000" w:fill="EBF1DE"/>
            <w:vAlign w:val="center"/>
          </w:tcPr>
          <w:p w14:paraId="4FFEE470" w14:textId="5583C9C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6/08/2014</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008E6E70"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732F78AE" w14:textId="3BE1F54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7F359BAD" w14:textId="401A7EFB"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Riesgos</w:t>
            </w:r>
          </w:p>
        </w:tc>
      </w:tr>
      <w:tr w:rsidR="00D12F50" w:rsidRPr="00350879" w14:paraId="3D777D4F" w14:textId="77777777" w:rsidTr="00BD3B26">
        <w:trPr>
          <w:trHeight w:val="250"/>
        </w:trPr>
        <w:tc>
          <w:tcPr>
            <w:tcW w:w="196" w:type="dxa"/>
            <w:tcBorders>
              <w:top w:val="nil"/>
              <w:left w:val="nil"/>
              <w:bottom w:val="nil"/>
              <w:right w:val="nil"/>
            </w:tcBorders>
            <w:shd w:val="clear" w:color="000000" w:fill="FFFFFF"/>
            <w:noWrap/>
            <w:vAlign w:val="bottom"/>
          </w:tcPr>
          <w:p w14:paraId="0A95149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144343AA" w14:textId="1070DC92"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 xml:space="preserve">Carlo León Ganoza </w:t>
            </w:r>
          </w:p>
        </w:tc>
        <w:tc>
          <w:tcPr>
            <w:tcW w:w="1921" w:type="dxa"/>
            <w:tcBorders>
              <w:top w:val="nil"/>
              <w:left w:val="nil"/>
              <w:bottom w:val="single" w:sz="4" w:space="0" w:color="auto"/>
              <w:right w:val="single" w:sz="4" w:space="0" w:color="auto"/>
            </w:tcBorders>
            <w:shd w:val="clear" w:color="000000" w:fill="EBF1DE"/>
            <w:vAlign w:val="center"/>
          </w:tcPr>
          <w:p w14:paraId="738798B0" w14:textId="163E7EF0"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05/07/2023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3F9802A"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05B69837" w14:textId="2250AEF0"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48FA17FF" w14:textId="557DA78A"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Renta Fija</w:t>
            </w:r>
          </w:p>
        </w:tc>
      </w:tr>
      <w:tr w:rsidR="00D12F50" w:rsidRPr="00350879" w14:paraId="10C34A38" w14:textId="77777777" w:rsidTr="00BD3B26">
        <w:trPr>
          <w:trHeight w:val="250"/>
        </w:trPr>
        <w:tc>
          <w:tcPr>
            <w:tcW w:w="196" w:type="dxa"/>
            <w:tcBorders>
              <w:top w:val="nil"/>
              <w:left w:val="nil"/>
              <w:bottom w:val="nil"/>
              <w:right w:val="nil"/>
            </w:tcBorders>
            <w:shd w:val="clear" w:color="000000" w:fill="FFFFFF"/>
            <w:noWrap/>
            <w:vAlign w:val="bottom"/>
          </w:tcPr>
          <w:p w14:paraId="4F33904C"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0833A415" w14:textId="45C52DFB"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 xml:space="preserve">Daniela </w:t>
            </w:r>
            <w:proofErr w:type="spellStart"/>
            <w:r w:rsidRPr="004F54B2">
              <w:rPr>
                <w:rFonts w:ascii="Calibri" w:eastAsia="Times New Roman" w:hAnsi="Calibri" w:cs="Calibri"/>
                <w:color w:val="000000" w:themeColor="text1"/>
                <w:sz w:val="16"/>
                <w:szCs w:val="16"/>
                <w:lang w:eastAsia="es-PE"/>
              </w:rPr>
              <w:t>Door</w:t>
            </w:r>
            <w:proofErr w:type="spellEnd"/>
            <w:r w:rsidRPr="004F54B2">
              <w:rPr>
                <w:rFonts w:ascii="Calibri" w:eastAsia="Times New Roman" w:hAnsi="Calibri" w:cs="Calibri"/>
                <w:color w:val="000000" w:themeColor="text1"/>
                <w:sz w:val="16"/>
                <w:szCs w:val="16"/>
                <w:lang w:eastAsia="es-PE"/>
              </w:rPr>
              <w:t xml:space="preserve"> </w:t>
            </w:r>
            <w:proofErr w:type="spellStart"/>
            <w:r w:rsidRPr="004F54B2">
              <w:rPr>
                <w:rFonts w:ascii="Calibri" w:eastAsia="Times New Roman" w:hAnsi="Calibri" w:cs="Calibri"/>
                <w:color w:val="000000" w:themeColor="text1"/>
                <w:sz w:val="16"/>
                <w:szCs w:val="16"/>
                <w:lang w:eastAsia="es-PE"/>
              </w:rPr>
              <w:t>Osele</w:t>
            </w:r>
            <w:proofErr w:type="spellEnd"/>
            <w:r w:rsidRPr="004F54B2">
              <w:rPr>
                <w:rFonts w:ascii="Calibri" w:eastAsia="Times New Roman" w:hAnsi="Calibri" w:cs="Calibri"/>
                <w:color w:val="000000" w:themeColor="text1"/>
                <w:sz w:val="16"/>
                <w:szCs w:val="16"/>
                <w:lang w:eastAsia="es-PE"/>
              </w:rPr>
              <w:t xml:space="preserve">  </w:t>
            </w:r>
          </w:p>
        </w:tc>
        <w:tc>
          <w:tcPr>
            <w:tcW w:w="1921" w:type="dxa"/>
            <w:tcBorders>
              <w:top w:val="nil"/>
              <w:left w:val="nil"/>
              <w:bottom w:val="single" w:sz="4" w:space="0" w:color="auto"/>
              <w:right w:val="single" w:sz="4" w:space="0" w:color="auto"/>
            </w:tcBorders>
            <w:shd w:val="clear" w:color="000000" w:fill="EBF1DE"/>
            <w:vAlign w:val="center"/>
          </w:tcPr>
          <w:p w14:paraId="402A5F65" w14:textId="3881CD0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19/03/2013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49A6E26" w14:textId="0CA0D2DE" w:rsidR="00D12F50" w:rsidRPr="004F54B2" w:rsidRDefault="00DF6E14"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31</w:t>
            </w:r>
            <w:r w:rsidR="00956694" w:rsidRPr="004F54B2">
              <w:rPr>
                <w:rFonts w:ascii="Calibri" w:eastAsia="Times New Roman" w:hAnsi="Calibri" w:cs="Calibri"/>
                <w:color w:val="000000" w:themeColor="text1"/>
                <w:sz w:val="16"/>
                <w:szCs w:val="16"/>
                <w:lang w:eastAsia="es-PE"/>
              </w:rPr>
              <w:t>/03/2024</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3807415" w14:textId="66A34D0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11F22006" w14:textId="7E60B416"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Alternativos y Análisis</w:t>
            </w:r>
          </w:p>
        </w:tc>
      </w:tr>
      <w:tr w:rsidR="00D12F50" w:rsidRPr="00350879" w14:paraId="579695B4" w14:textId="77777777" w:rsidTr="00BD3B26">
        <w:trPr>
          <w:trHeight w:val="250"/>
        </w:trPr>
        <w:tc>
          <w:tcPr>
            <w:tcW w:w="196" w:type="dxa"/>
            <w:tcBorders>
              <w:top w:val="nil"/>
              <w:left w:val="nil"/>
              <w:bottom w:val="nil"/>
              <w:right w:val="nil"/>
            </w:tcBorders>
            <w:shd w:val="clear" w:color="000000" w:fill="FFFFFF"/>
            <w:noWrap/>
            <w:vAlign w:val="bottom"/>
          </w:tcPr>
          <w:p w14:paraId="12865EE2"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7F2C30B" w14:textId="79E9D45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Galantino Gallo Quiroz</w:t>
            </w:r>
          </w:p>
        </w:tc>
        <w:tc>
          <w:tcPr>
            <w:tcW w:w="1921" w:type="dxa"/>
            <w:tcBorders>
              <w:top w:val="nil"/>
              <w:left w:val="nil"/>
              <w:bottom w:val="single" w:sz="4" w:space="0" w:color="auto"/>
              <w:right w:val="single" w:sz="4" w:space="0" w:color="auto"/>
            </w:tcBorders>
            <w:shd w:val="clear" w:color="000000" w:fill="EBF1DE"/>
            <w:vAlign w:val="center"/>
          </w:tcPr>
          <w:p w14:paraId="473146A7" w14:textId="4B0780E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01/04/2023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48703D59"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14EE6084" w14:textId="05B1DE3E"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17F971FC" w14:textId="13A7ADE5"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General</w:t>
            </w:r>
          </w:p>
        </w:tc>
      </w:tr>
      <w:tr w:rsidR="00D12F50" w:rsidRPr="00350879" w14:paraId="2E4BD87B" w14:textId="77777777" w:rsidTr="00BD3B26">
        <w:trPr>
          <w:trHeight w:val="250"/>
        </w:trPr>
        <w:tc>
          <w:tcPr>
            <w:tcW w:w="196" w:type="dxa"/>
            <w:tcBorders>
              <w:top w:val="nil"/>
              <w:left w:val="nil"/>
              <w:bottom w:val="nil"/>
              <w:right w:val="nil"/>
            </w:tcBorders>
            <w:shd w:val="clear" w:color="000000" w:fill="FFFFFF"/>
            <w:noWrap/>
            <w:vAlign w:val="bottom"/>
          </w:tcPr>
          <w:p w14:paraId="45364EA9"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4F747346" w14:textId="096E849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Juan Pablo Noziglia Montjoy</w:t>
            </w:r>
          </w:p>
        </w:tc>
        <w:tc>
          <w:tcPr>
            <w:tcW w:w="1921" w:type="dxa"/>
            <w:tcBorders>
              <w:top w:val="nil"/>
              <w:left w:val="nil"/>
              <w:bottom w:val="single" w:sz="4" w:space="0" w:color="auto"/>
              <w:right w:val="single" w:sz="4" w:space="0" w:color="auto"/>
            </w:tcBorders>
            <w:shd w:val="clear" w:color="000000" w:fill="EBF1DE"/>
            <w:vAlign w:val="center"/>
          </w:tcPr>
          <w:p w14:paraId="41772204" w14:textId="6FE1670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01/07/2022</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260C846"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25EFF096" w14:textId="353B418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0ED6517" w14:textId="3BB5B311"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Inversiones</w:t>
            </w:r>
          </w:p>
        </w:tc>
      </w:tr>
      <w:tr w:rsidR="00D12F50" w:rsidRPr="00350879" w14:paraId="28056D22" w14:textId="77777777" w:rsidTr="00BD3B26">
        <w:trPr>
          <w:trHeight w:val="250"/>
        </w:trPr>
        <w:tc>
          <w:tcPr>
            <w:tcW w:w="196" w:type="dxa"/>
            <w:tcBorders>
              <w:top w:val="nil"/>
              <w:left w:val="nil"/>
              <w:bottom w:val="nil"/>
              <w:right w:val="nil"/>
            </w:tcBorders>
            <w:shd w:val="clear" w:color="000000" w:fill="FFFFFF"/>
            <w:noWrap/>
            <w:vAlign w:val="bottom"/>
          </w:tcPr>
          <w:p w14:paraId="40E3DAAE"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00492EA4" w14:textId="14977F5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Oscar Gustavo Corpancho Fort</w:t>
            </w:r>
          </w:p>
        </w:tc>
        <w:tc>
          <w:tcPr>
            <w:tcW w:w="1921" w:type="dxa"/>
            <w:tcBorders>
              <w:top w:val="nil"/>
              <w:left w:val="nil"/>
              <w:bottom w:val="single" w:sz="4" w:space="0" w:color="auto"/>
              <w:right w:val="single" w:sz="4" w:space="0" w:color="auto"/>
            </w:tcBorders>
            <w:shd w:val="clear" w:color="000000" w:fill="EBF1DE"/>
            <w:vAlign w:val="center"/>
          </w:tcPr>
          <w:p w14:paraId="128EEC7F" w14:textId="12FCE7E0"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1/11/2017</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10139058" w14:textId="410D3329" w:rsidR="00D12F50" w:rsidRPr="004F54B2" w:rsidRDefault="00956694"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31/08/2024</w:t>
            </w: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9953765" w14:textId="0B5849DB"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4C7B0F43" w14:textId="2FD47711"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Gerente de Renta Variable</w:t>
            </w:r>
          </w:p>
        </w:tc>
      </w:tr>
      <w:tr w:rsidR="00D12F50" w:rsidRPr="00350879" w14:paraId="49B2B7DD" w14:textId="77777777" w:rsidTr="00BD3B26">
        <w:trPr>
          <w:trHeight w:val="250"/>
        </w:trPr>
        <w:tc>
          <w:tcPr>
            <w:tcW w:w="196" w:type="dxa"/>
            <w:tcBorders>
              <w:top w:val="nil"/>
              <w:left w:val="nil"/>
              <w:bottom w:val="nil"/>
              <w:right w:val="nil"/>
            </w:tcBorders>
            <w:shd w:val="clear" w:color="000000" w:fill="FFFFFF"/>
            <w:noWrap/>
            <w:vAlign w:val="bottom"/>
          </w:tcPr>
          <w:p w14:paraId="69B512D8"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tcPr>
          <w:p w14:paraId="62A0E8F8" w14:textId="0AE0F688"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Gonzalo Camargo Cárdenas</w:t>
            </w:r>
          </w:p>
        </w:tc>
        <w:tc>
          <w:tcPr>
            <w:tcW w:w="1921" w:type="dxa"/>
            <w:tcBorders>
              <w:top w:val="nil"/>
              <w:left w:val="nil"/>
              <w:bottom w:val="single" w:sz="4" w:space="0" w:color="auto"/>
              <w:right w:val="single" w:sz="4" w:space="0" w:color="auto"/>
            </w:tcBorders>
            <w:shd w:val="clear" w:color="000000" w:fill="EBF1DE"/>
            <w:vAlign w:val="center"/>
          </w:tcPr>
          <w:p w14:paraId="52165FA3" w14:textId="735E6325"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25/08/2020</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3F5FDF7C" w14:textId="77777777"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tcPr>
          <w:p w14:paraId="5C0D67C5" w14:textId="070E74F0"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tcPr>
          <w:p w14:paraId="0952D499" w14:textId="50A8BD4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No aplica</w:t>
            </w:r>
          </w:p>
        </w:tc>
      </w:tr>
      <w:tr w:rsidR="00D12F50" w:rsidRPr="00781F94" w14:paraId="70B304BF" w14:textId="77777777" w:rsidTr="00BD3B26">
        <w:trPr>
          <w:trHeight w:val="250"/>
        </w:trPr>
        <w:tc>
          <w:tcPr>
            <w:tcW w:w="196" w:type="dxa"/>
            <w:tcBorders>
              <w:top w:val="nil"/>
              <w:left w:val="nil"/>
              <w:bottom w:val="nil"/>
              <w:right w:val="nil"/>
            </w:tcBorders>
            <w:shd w:val="clear" w:color="000000" w:fill="FFFFFF"/>
            <w:noWrap/>
            <w:vAlign w:val="bottom"/>
            <w:hideMark/>
          </w:tcPr>
          <w:p w14:paraId="413CD6F1"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3378" w:type="dxa"/>
            <w:tcBorders>
              <w:top w:val="single" w:sz="4" w:space="0" w:color="auto"/>
              <w:left w:val="single" w:sz="4" w:space="0" w:color="auto"/>
              <w:bottom w:val="single" w:sz="4" w:space="0" w:color="auto"/>
              <w:right w:val="single" w:sz="4" w:space="0" w:color="000000"/>
            </w:tcBorders>
            <w:shd w:val="clear" w:color="000000" w:fill="EBF1DE"/>
            <w:vAlign w:val="center"/>
            <w:hideMark/>
          </w:tcPr>
          <w:p w14:paraId="560EA13C" w14:textId="04A1E83F"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roofErr w:type="spellStart"/>
            <w:r w:rsidRPr="004F54B2">
              <w:rPr>
                <w:rFonts w:ascii="Calibri" w:eastAsia="Times New Roman" w:hAnsi="Calibri" w:cs="Calibri"/>
                <w:color w:val="000000" w:themeColor="text1"/>
                <w:sz w:val="16"/>
                <w:szCs w:val="16"/>
                <w:lang w:eastAsia="es-PE"/>
              </w:rPr>
              <w:t>Jose</w:t>
            </w:r>
            <w:proofErr w:type="spellEnd"/>
            <w:r w:rsidRPr="004F54B2">
              <w:rPr>
                <w:rFonts w:ascii="Calibri" w:eastAsia="Times New Roman" w:hAnsi="Calibri" w:cs="Calibri"/>
                <w:color w:val="000000" w:themeColor="text1"/>
                <w:sz w:val="16"/>
                <w:szCs w:val="16"/>
                <w:lang w:eastAsia="es-PE"/>
              </w:rPr>
              <w:t xml:space="preserve"> </w:t>
            </w:r>
            <w:proofErr w:type="spellStart"/>
            <w:r w:rsidRPr="004F54B2">
              <w:rPr>
                <w:rFonts w:ascii="Calibri" w:eastAsia="Times New Roman" w:hAnsi="Calibri" w:cs="Calibri"/>
                <w:color w:val="000000" w:themeColor="text1"/>
                <w:sz w:val="16"/>
                <w:szCs w:val="16"/>
                <w:lang w:eastAsia="es-PE"/>
              </w:rPr>
              <w:t>Goldszmidt</w:t>
            </w:r>
            <w:proofErr w:type="spellEnd"/>
            <w:r w:rsidRPr="004F54B2">
              <w:rPr>
                <w:rFonts w:ascii="Calibri" w:eastAsia="Times New Roman" w:hAnsi="Calibri" w:cs="Calibri"/>
                <w:color w:val="000000" w:themeColor="text1"/>
                <w:sz w:val="16"/>
                <w:szCs w:val="16"/>
                <w:lang w:eastAsia="es-PE"/>
              </w:rPr>
              <w:t xml:space="preserve"> </w:t>
            </w:r>
            <w:proofErr w:type="spellStart"/>
            <w:r w:rsidRPr="004F54B2">
              <w:rPr>
                <w:rFonts w:ascii="Calibri" w:eastAsia="Times New Roman" w:hAnsi="Calibri" w:cs="Calibri"/>
                <w:color w:val="000000" w:themeColor="text1"/>
                <w:sz w:val="16"/>
                <w:szCs w:val="16"/>
                <w:lang w:eastAsia="es-PE"/>
              </w:rPr>
              <w:t>Biterman</w:t>
            </w:r>
            <w:proofErr w:type="spellEnd"/>
          </w:p>
        </w:tc>
        <w:tc>
          <w:tcPr>
            <w:tcW w:w="1921" w:type="dxa"/>
            <w:tcBorders>
              <w:top w:val="nil"/>
              <w:left w:val="nil"/>
              <w:bottom w:val="single" w:sz="4" w:space="0" w:color="auto"/>
              <w:right w:val="single" w:sz="4" w:space="0" w:color="auto"/>
            </w:tcBorders>
            <w:shd w:val="clear" w:color="000000" w:fill="EBF1DE"/>
            <w:vAlign w:val="center"/>
            <w:hideMark/>
          </w:tcPr>
          <w:p w14:paraId="0A4C51CB" w14:textId="52CC3EFD"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01/06/2023</w:t>
            </w:r>
          </w:p>
        </w:tc>
        <w:tc>
          <w:tcPr>
            <w:tcW w:w="1680" w:type="dxa"/>
            <w:tcBorders>
              <w:top w:val="single" w:sz="4" w:space="0" w:color="auto"/>
              <w:left w:val="nil"/>
              <w:bottom w:val="single" w:sz="4" w:space="0" w:color="auto"/>
              <w:right w:val="single" w:sz="4" w:space="0" w:color="auto"/>
            </w:tcBorders>
            <w:shd w:val="clear" w:color="000000" w:fill="EBF1DE"/>
            <w:vAlign w:val="center"/>
          </w:tcPr>
          <w:p w14:paraId="2CEA87CD" w14:textId="19EEDC75" w:rsidR="00D12F50" w:rsidRPr="004F54B2" w:rsidRDefault="00D12F50" w:rsidP="00D12F50">
            <w:pPr>
              <w:spacing w:after="0" w:line="240" w:lineRule="auto"/>
              <w:rPr>
                <w:rFonts w:ascii="Calibri" w:eastAsia="Times New Roman" w:hAnsi="Calibri" w:cs="Calibri"/>
                <w:color w:val="000000" w:themeColor="text1"/>
                <w:sz w:val="16"/>
                <w:szCs w:val="16"/>
                <w:lang w:eastAsia="es-PE"/>
              </w:rPr>
            </w:pPr>
          </w:p>
        </w:tc>
        <w:tc>
          <w:tcPr>
            <w:tcW w:w="1595" w:type="dxa"/>
            <w:gridSpan w:val="3"/>
            <w:tcBorders>
              <w:top w:val="single" w:sz="4" w:space="0" w:color="auto"/>
              <w:left w:val="nil"/>
              <w:bottom w:val="single" w:sz="4" w:space="0" w:color="auto"/>
              <w:right w:val="single" w:sz="4" w:space="0" w:color="000000"/>
            </w:tcBorders>
            <w:shd w:val="clear" w:color="000000" w:fill="EBF1DE"/>
            <w:noWrap/>
            <w:vAlign w:val="bottom"/>
            <w:hideMark/>
          </w:tcPr>
          <w:p w14:paraId="3C68A002" w14:textId="391B346C"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Miembro Independiente</w:t>
            </w:r>
          </w:p>
        </w:tc>
        <w:tc>
          <w:tcPr>
            <w:tcW w:w="1125" w:type="dxa"/>
            <w:gridSpan w:val="3"/>
            <w:tcBorders>
              <w:top w:val="single" w:sz="4" w:space="0" w:color="auto"/>
              <w:left w:val="nil"/>
              <w:bottom w:val="single" w:sz="4" w:space="0" w:color="auto"/>
              <w:right w:val="single" w:sz="4" w:space="0" w:color="000000"/>
            </w:tcBorders>
            <w:shd w:val="clear" w:color="000000" w:fill="EBF1DE"/>
            <w:noWrap/>
            <w:vAlign w:val="center"/>
            <w:hideMark/>
          </w:tcPr>
          <w:p w14:paraId="14CF5315" w14:textId="77777777" w:rsidR="00D12F50" w:rsidRPr="004F54B2" w:rsidRDefault="00D12F50" w:rsidP="00D12F50">
            <w:pPr>
              <w:spacing w:after="0" w:line="240" w:lineRule="auto"/>
              <w:jc w:val="center"/>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No aplica</w:t>
            </w:r>
          </w:p>
        </w:tc>
      </w:tr>
      <w:tr w:rsidR="00D12F50" w:rsidRPr="00350879" w14:paraId="5B566A9E" w14:textId="77777777" w:rsidTr="00BD3B26">
        <w:trPr>
          <w:trHeight w:val="400"/>
        </w:trPr>
        <w:tc>
          <w:tcPr>
            <w:tcW w:w="196" w:type="dxa"/>
            <w:tcBorders>
              <w:top w:val="nil"/>
              <w:left w:val="nil"/>
              <w:bottom w:val="nil"/>
              <w:right w:val="nil"/>
            </w:tcBorders>
            <w:shd w:val="clear" w:color="000000" w:fill="FFFFFF"/>
            <w:noWrap/>
            <w:vAlign w:val="bottom"/>
            <w:hideMark/>
          </w:tcPr>
          <w:p w14:paraId="1ECA1577"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49A6364B"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w:t>
            </w:r>
            <w:proofErr w:type="gramStart"/>
            <w:r w:rsidRPr="00350879">
              <w:rPr>
                <w:rFonts w:ascii="Arial" w:eastAsia="Times New Roman" w:hAnsi="Arial" w:cs="Arial"/>
                <w:color w:val="000000"/>
                <w:sz w:val="20"/>
                <w:szCs w:val="20"/>
                <w:lang w:eastAsia="es-PE"/>
              </w:rPr>
              <w:t>Directores</w:t>
            </w:r>
            <w:proofErr w:type="gramEnd"/>
            <w:r w:rsidRPr="00350879">
              <w:rPr>
                <w:rFonts w:ascii="Arial" w:eastAsia="Times New Roman" w:hAnsi="Arial" w:cs="Arial"/>
                <w:color w:val="000000"/>
                <w:sz w:val="20"/>
                <w:szCs w:val="20"/>
                <w:lang w:eastAsia="es-PE"/>
              </w:rPr>
              <w:t xml:space="preserve"> Independientes respecto del total del Comité</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087DC0B4" w14:textId="0364A864" w:rsidR="00D12F50" w:rsidRPr="00EB1794" w:rsidRDefault="00D12F50" w:rsidP="00D12F50">
            <w:pPr>
              <w:spacing w:after="0" w:line="240" w:lineRule="auto"/>
              <w:jc w:val="right"/>
              <w:rPr>
                <w:rFonts w:ascii="Calibri" w:eastAsia="Times New Roman" w:hAnsi="Calibri" w:cs="Calibri"/>
                <w:color w:val="000000" w:themeColor="text1"/>
                <w:sz w:val="16"/>
                <w:szCs w:val="16"/>
                <w:lang w:eastAsia="es-PE"/>
              </w:rPr>
            </w:pPr>
            <w:r w:rsidRPr="00EB1794">
              <w:rPr>
                <w:rFonts w:ascii="Calibri" w:eastAsia="Times New Roman" w:hAnsi="Calibri" w:cs="Calibri"/>
                <w:color w:val="000000" w:themeColor="text1"/>
                <w:sz w:val="16"/>
                <w:szCs w:val="16"/>
                <w:lang w:eastAsia="es-PE"/>
              </w:rPr>
              <w:t>11</w:t>
            </w:r>
          </w:p>
        </w:tc>
      </w:tr>
      <w:tr w:rsidR="00D12F50" w:rsidRPr="00350879" w14:paraId="0B974506" w14:textId="77777777" w:rsidTr="00BD3B26">
        <w:trPr>
          <w:trHeight w:val="250"/>
        </w:trPr>
        <w:tc>
          <w:tcPr>
            <w:tcW w:w="196" w:type="dxa"/>
            <w:tcBorders>
              <w:top w:val="nil"/>
              <w:left w:val="nil"/>
              <w:bottom w:val="nil"/>
              <w:right w:val="nil"/>
            </w:tcBorders>
            <w:shd w:val="clear" w:color="000000" w:fill="FFFFFF"/>
            <w:noWrap/>
            <w:vAlign w:val="bottom"/>
            <w:hideMark/>
          </w:tcPr>
          <w:p w14:paraId="1D451634"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7E71847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Número de sesiones realizadas durante el ejercicio:</w:t>
            </w:r>
          </w:p>
        </w:tc>
        <w:tc>
          <w:tcPr>
            <w:tcW w:w="2720" w:type="dxa"/>
            <w:gridSpan w:val="6"/>
            <w:tcBorders>
              <w:top w:val="single" w:sz="4" w:space="0" w:color="auto"/>
              <w:left w:val="nil"/>
              <w:bottom w:val="single" w:sz="4" w:space="0" w:color="auto"/>
              <w:right w:val="single" w:sz="4" w:space="0" w:color="000000"/>
            </w:tcBorders>
            <w:shd w:val="clear" w:color="000000" w:fill="EBF1DE"/>
            <w:noWrap/>
            <w:vAlign w:val="center"/>
            <w:hideMark/>
          </w:tcPr>
          <w:p w14:paraId="63F365DA" w14:textId="7FD0C713" w:rsidR="00D12F50" w:rsidRPr="00EB1794" w:rsidRDefault="00D12F50" w:rsidP="00D12F50">
            <w:pPr>
              <w:spacing w:after="0" w:line="240" w:lineRule="auto"/>
              <w:jc w:val="right"/>
              <w:rPr>
                <w:rFonts w:ascii="Calibri" w:eastAsia="Times New Roman" w:hAnsi="Calibri" w:cs="Calibri"/>
                <w:color w:val="000000" w:themeColor="text1"/>
                <w:sz w:val="16"/>
                <w:szCs w:val="16"/>
                <w:lang w:eastAsia="es-PE"/>
              </w:rPr>
            </w:pPr>
            <w:r w:rsidRPr="004F54B2">
              <w:rPr>
                <w:rFonts w:ascii="Calibri" w:eastAsia="Times New Roman" w:hAnsi="Calibri" w:cs="Calibri"/>
                <w:color w:val="000000" w:themeColor="text1"/>
                <w:sz w:val="16"/>
                <w:szCs w:val="16"/>
                <w:lang w:eastAsia="es-PE"/>
              </w:rPr>
              <w:t>1</w:t>
            </w:r>
            <w:r w:rsidR="001B3ADF" w:rsidRPr="004F54B2">
              <w:rPr>
                <w:rFonts w:ascii="Calibri" w:eastAsia="Times New Roman" w:hAnsi="Calibri" w:cs="Calibri"/>
                <w:color w:val="000000" w:themeColor="text1"/>
                <w:sz w:val="16"/>
                <w:szCs w:val="16"/>
                <w:lang w:eastAsia="es-PE"/>
              </w:rPr>
              <w:t>5</w:t>
            </w:r>
          </w:p>
        </w:tc>
      </w:tr>
      <w:tr w:rsidR="00D12F50" w:rsidRPr="00350879" w14:paraId="3709DCA0" w14:textId="77777777" w:rsidTr="00BD3B26">
        <w:trPr>
          <w:trHeight w:val="165"/>
        </w:trPr>
        <w:tc>
          <w:tcPr>
            <w:tcW w:w="196" w:type="dxa"/>
            <w:tcBorders>
              <w:top w:val="nil"/>
              <w:left w:val="nil"/>
              <w:bottom w:val="nil"/>
              <w:right w:val="nil"/>
            </w:tcBorders>
            <w:shd w:val="clear" w:color="000000" w:fill="FFFFFF"/>
            <w:noWrap/>
            <w:vAlign w:val="bottom"/>
            <w:hideMark/>
          </w:tcPr>
          <w:p w14:paraId="453FAF14"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72C5913"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Cuenta con facultades delegadas de acuerdo con el artículo 174 de la Ley General de Sociedades:</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3B61FA54"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38CD4CD8"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6538E039" w14:textId="77777777" w:rsidTr="00BD3B26">
        <w:trPr>
          <w:trHeight w:val="260"/>
        </w:trPr>
        <w:tc>
          <w:tcPr>
            <w:tcW w:w="196" w:type="dxa"/>
            <w:tcBorders>
              <w:top w:val="nil"/>
              <w:left w:val="nil"/>
              <w:bottom w:val="nil"/>
              <w:right w:val="nil"/>
            </w:tcBorders>
            <w:shd w:val="clear" w:color="000000" w:fill="FFFFFF"/>
            <w:noWrap/>
            <w:vAlign w:val="bottom"/>
            <w:hideMark/>
          </w:tcPr>
          <w:p w14:paraId="1061BE0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10C37BC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FDFA7"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7CE3CE26" w14:textId="4599BA7A"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p>
        </w:tc>
        <w:tc>
          <w:tcPr>
            <w:tcW w:w="243" w:type="dxa"/>
            <w:tcBorders>
              <w:top w:val="nil"/>
              <w:left w:val="nil"/>
              <w:bottom w:val="nil"/>
              <w:right w:val="single" w:sz="4" w:space="0" w:color="auto"/>
            </w:tcBorders>
            <w:shd w:val="clear" w:color="000000" w:fill="FFFFFF"/>
            <w:noWrap/>
            <w:vAlign w:val="bottom"/>
            <w:hideMark/>
          </w:tcPr>
          <w:p w14:paraId="4A6888C2"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2753452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4091D339" w14:textId="21D00D44"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r>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3560FF8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4E98EC73" w14:textId="77777777" w:rsidTr="00BD3B26">
        <w:trPr>
          <w:trHeight w:val="150"/>
        </w:trPr>
        <w:tc>
          <w:tcPr>
            <w:tcW w:w="196" w:type="dxa"/>
            <w:tcBorders>
              <w:top w:val="nil"/>
              <w:left w:val="nil"/>
              <w:bottom w:val="nil"/>
              <w:right w:val="nil"/>
            </w:tcBorders>
            <w:shd w:val="clear" w:color="000000" w:fill="FFFFFF"/>
            <w:noWrap/>
            <w:vAlign w:val="bottom"/>
            <w:hideMark/>
          </w:tcPr>
          <w:p w14:paraId="51FECB4A"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36C9B4E5"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nil"/>
              <w:right w:val="single" w:sz="4" w:space="0" w:color="000000"/>
            </w:tcBorders>
            <w:shd w:val="clear" w:color="auto" w:fill="auto"/>
            <w:noWrap/>
            <w:vAlign w:val="bottom"/>
            <w:hideMark/>
          </w:tcPr>
          <w:p w14:paraId="732D74F4" w14:textId="5E6225E1" w:rsidR="00D12F50" w:rsidRPr="00350879" w:rsidRDefault="00D12F50" w:rsidP="00D12F50">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7808" behindDoc="0" locked="0" layoutInCell="1" allowOverlap="1" wp14:anchorId="646D9276" wp14:editId="71A191C5">
                      <wp:simplePos x="0" y="0"/>
                      <wp:positionH relativeFrom="column">
                        <wp:posOffset>0</wp:posOffset>
                      </wp:positionH>
                      <wp:positionV relativeFrom="paragraph">
                        <wp:posOffset>6350</wp:posOffset>
                      </wp:positionV>
                      <wp:extent cx="12700" cy="177800"/>
                      <wp:effectExtent l="0" t="0" r="25400" b="12700"/>
                      <wp:wrapNone/>
                      <wp:docPr id="3" name="Rectángulo 3">
                        <a:extLst xmlns:a="http://schemas.openxmlformats.org/drawingml/2006/main">
                          <a:ext uri="{FF2B5EF4-FFF2-40B4-BE49-F238E27FC236}">
                            <a16:creationId xmlns:a16="http://schemas.microsoft.com/office/drawing/2014/main" id="{00000000-0008-0000-1600-000003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7C3B32A9" id="Rectángulo 3" o:spid="_x0000_s1026" style="position:absolute;margin-left:0;margin-top:.5pt;width:1pt;height:1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450"/>
            </w:tblGrid>
            <w:tr w:rsidR="00D12F50" w:rsidRPr="00350879" w14:paraId="5E72D05A" w14:textId="77777777">
              <w:trPr>
                <w:trHeight w:val="150"/>
                <w:tblCellSpacing w:w="0" w:type="dxa"/>
              </w:trPr>
              <w:tc>
                <w:tcPr>
                  <w:tcW w:w="1440" w:type="dxa"/>
                  <w:tcBorders>
                    <w:top w:val="nil"/>
                    <w:left w:val="nil"/>
                    <w:bottom w:val="single" w:sz="4" w:space="0" w:color="auto"/>
                    <w:right w:val="single" w:sz="4" w:space="0" w:color="000000"/>
                  </w:tcBorders>
                  <w:shd w:val="clear" w:color="000000" w:fill="FFFFFF"/>
                  <w:noWrap/>
                  <w:vAlign w:val="bottom"/>
                  <w:hideMark/>
                </w:tcPr>
                <w:p w14:paraId="31ECA496"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bl>
          <w:p w14:paraId="75AFFFEF" w14:textId="77777777" w:rsidR="00D12F50" w:rsidRPr="00350879" w:rsidRDefault="00D12F50" w:rsidP="00D12F50">
            <w:pPr>
              <w:spacing w:after="0" w:line="240" w:lineRule="auto"/>
              <w:rPr>
                <w:rFonts w:ascii="Calibri" w:eastAsia="Times New Roman" w:hAnsi="Calibri" w:cs="Calibri"/>
                <w:color w:val="000000"/>
                <w:lang w:eastAsia="es-PE"/>
              </w:rPr>
            </w:pP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7BFA5B99"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33CB74DA" w14:textId="77777777" w:rsidTr="00BD3B26">
        <w:trPr>
          <w:trHeight w:val="90"/>
        </w:trPr>
        <w:tc>
          <w:tcPr>
            <w:tcW w:w="196" w:type="dxa"/>
            <w:tcBorders>
              <w:top w:val="nil"/>
              <w:left w:val="nil"/>
              <w:bottom w:val="nil"/>
              <w:right w:val="nil"/>
            </w:tcBorders>
            <w:shd w:val="clear" w:color="000000" w:fill="FFFFFF"/>
            <w:noWrap/>
            <w:vAlign w:val="bottom"/>
            <w:hideMark/>
          </w:tcPr>
          <w:p w14:paraId="5BB3D8F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D971F66"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El comité o su presidente participa en la JGA</w:t>
            </w:r>
          </w:p>
        </w:tc>
        <w:tc>
          <w:tcPr>
            <w:tcW w:w="1595" w:type="dxa"/>
            <w:gridSpan w:val="3"/>
            <w:tcBorders>
              <w:top w:val="single" w:sz="4" w:space="0" w:color="auto"/>
              <w:left w:val="nil"/>
              <w:bottom w:val="nil"/>
              <w:right w:val="single" w:sz="4" w:space="0" w:color="000000"/>
            </w:tcBorders>
            <w:shd w:val="clear" w:color="000000" w:fill="FFFFFF"/>
            <w:noWrap/>
            <w:vAlign w:val="bottom"/>
            <w:hideMark/>
          </w:tcPr>
          <w:p w14:paraId="499C5137"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single" w:sz="4" w:space="0" w:color="auto"/>
              <w:left w:val="nil"/>
              <w:bottom w:val="nil"/>
              <w:right w:val="single" w:sz="4" w:space="0" w:color="000000"/>
            </w:tcBorders>
            <w:shd w:val="clear" w:color="000000" w:fill="FFFFFF"/>
            <w:noWrap/>
            <w:vAlign w:val="bottom"/>
            <w:hideMark/>
          </w:tcPr>
          <w:p w14:paraId="0CE47790"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70A090E1" w14:textId="77777777" w:rsidTr="00BD3B26">
        <w:trPr>
          <w:trHeight w:val="260"/>
        </w:trPr>
        <w:tc>
          <w:tcPr>
            <w:tcW w:w="196" w:type="dxa"/>
            <w:tcBorders>
              <w:top w:val="nil"/>
              <w:left w:val="nil"/>
              <w:bottom w:val="nil"/>
              <w:right w:val="nil"/>
            </w:tcBorders>
            <w:shd w:val="clear" w:color="000000" w:fill="FFFFFF"/>
            <w:noWrap/>
            <w:vAlign w:val="bottom"/>
            <w:hideMark/>
          </w:tcPr>
          <w:p w14:paraId="1F4EA91D"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27BA6FD0"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935" w:type="dxa"/>
            <w:tcBorders>
              <w:top w:val="nil"/>
              <w:left w:val="single" w:sz="4" w:space="0" w:color="auto"/>
              <w:bottom w:val="nil"/>
              <w:right w:val="nil"/>
            </w:tcBorders>
            <w:shd w:val="clear" w:color="000000" w:fill="FFFFFF"/>
            <w:noWrap/>
            <w:vAlign w:val="bottom"/>
            <w:hideMark/>
          </w:tcPr>
          <w:p w14:paraId="366053D5"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Sí</w:t>
            </w:r>
          </w:p>
        </w:tc>
        <w:tc>
          <w:tcPr>
            <w:tcW w:w="417"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287CE0FB" w14:textId="77777777"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 </w:t>
            </w:r>
          </w:p>
        </w:tc>
        <w:tc>
          <w:tcPr>
            <w:tcW w:w="243" w:type="dxa"/>
            <w:tcBorders>
              <w:top w:val="nil"/>
              <w:left w:val="nil"/>
              <w:bottom w:val="nil"/>
              <w:right w:val="single" w:sz="4" w:space="0" w:color="auto"/>
            </w:tcBorders>
            <w:shd w:val="clear" w:color="000000" w:fill="FFFFFF"/>
            <w:noWrap/>
            <w:vAlign w:val="bottom"/>
            <w:hideMark/>
          </w:tcPr>
          <w:p w14:paraId="59CFC56A"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39" w:type="dxa"/>
            <w:tcBorders>
              <w:top w:val="nil"/>
              <w:left w:val="nil"/>
              <w:bottom w:val="nil"/>
              <w:right w:val="nil"/>
            </w:tcBorders>
            <w:shd w:val="clear" w:color="000000" w:fill="FFFFFF"/>
            <w:noWrap/>
            <w:vAlign w:val="bottom"/>
            <w:hideMark/>
          </w:tcPr>
          <w:p w14:paraId="12D5513F"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xml:space="preserve">  No</w:t>
            </w:r>
          </w:p>
        </w:tc>
        <w:tc>
          <w:tcPr>
            <w:tcW w:w="290" w:type="dxa"/>
            <w:tcBorders>
              <w:top w:val="single" w:sz="4" w:space="0" w:color="auto"/>
              <w:left w:val="single" w:sz="4" w:space="0" w:color="auto"/>
              <w:bottom w:val="single" w:sz="4" w:space="0" w:color="auto"/>
              <w:right w:val="single" w:sz="4" w:space="0" w:color="auto"/>
            </w:tcBorders>
            <w:shd w:val="clear" w:color="000000" w:fill="EBF1DE"/>
            <w:noWrap/>
            <w:vAlign w:val="center"/>
            <w:hideMark/>
          </w:tcPr>
          <w:p w14:paraId="1C9A9A48" w14:textId="77777777" w:rsidR="00D12F50" w:rsidRPr="00350879" w:rsidRDefault="00D12F50" w:rsidP="00D12F50">
            <w:pPr>
              <w:spacing w:after="0" w:line="240" w:lineRule="auto"/>
              <w:jc w:val="center"/>
              <w:rPr>
                <w:rFonts w:ascii="Calibri" w:eastAsia="Times New Roman" w:hAnsi="Calibri" w:cs="Calibri"/>
                <w:color w:val="000000"/>
                <w:sz w:val="20"/>
                <w:szCs w:val="20"/>
                <w:lang w:eastAsia="es-PE"/>
              </w:rPr>
            </w:pPr>
            <w:r w:rsidRPr="00350879">
              <w:rPr>
                <w:rFonts w:ascii="Calibri" w:eastAsia="Times New Roman" w:hAnsi="Calibri" w:cs="Calibri"/>
                <w:color w:val="000000"/>
                <w:sz w:val="20"/>
                <w:szCs w:val="20"/>
                <w:lang w:eastAsia="es-PE"/>
              </w:rPr>
              <w:t>X</w:t>
            </w:r>
          </w:p>
        </w:tc>
        <w:tc>
          <w:tcPr>
            <w:tcW w:w="196" w:type="dxa"/>
            <w:tcBorders>
              <w:top w:val="nil"/>
              <w:left w:val="nil"/>
              <w:bottom w:val="nil"/>
              <w:right w:val="single" w:sz="4" w:space="0" w:color="auto"/>
            </w:tcBorders>
            <w:shd w:val="clear" w:color="000000" w:fill="FFFFFF"/>
            <w:noWrap/>
            <w:vAlign w:val="bottom"/>
            <w:hideMark/>
          </w:tcPr>
          <w:p w14:paraId="721D7F11"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608F7F29" w14:textId="77777777" w:rsidTr="00BD3B26">
        <w:trPr>
          <w:trHeight w:val="105"/>
        </w:trPr>
        <w:tc>
          <w:tcPr>
            <w:tcW w:w="196" w:type="dxa"/>
            <w:tcBorders>
              <w:top w:val="nil"/>
              <w:left w:val="nil"/>
              <w:bottom w:val="nil"/>
              <w:right w:val="nil"/>
            </w:tcBorders>
            <w:shd w:val="clear" w:color="000000" w:fill="FFFFFF"/>
            <w:noWrap/>
            <w:vAlign w:val="bottom"/>
            <w:hideMark/>
          </w:tcPr>
          <w:p w14:paraId="5AE3028B" w14:textId="77777777" w:rsidR="00D12F50" w:rsidRPr="00350879" w:rsidRDefault="00D12F50" w:rsidP="00D12F50">
            <w:pPr>
              <w:spacing w:after="0" w:line="240" w:lineRule="auto"/>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6979" w:type="dxa"/>
            <w:gridSpan w:val="3"/>
            <w:vMerge/>
            <w:tcBorders>
              <w:top w:val="nil"/>
              <w:left w:val="nil"/>
              <w:bottom w:val="nil"/>
              <w:right w:val="nil"/>
            </w:tcBorders>
            <w:vAlign w:val="center"/>
            <w:hideMark/>
          </w:tcPr>
          <w:p w14:paraId="51E5839C" w14:textId="77777777" w:rsidR="00D12F50" w:rsidRPr="00350879" w:rsidRDefault="00D12F50" w:rsidP="00D12F50">
            <w:pPr>
              <w:spacing w:after="0" w:line="240" w:lineRule="auto"/>
              <w:rPr>
                <w:rFonts w:ascii="Arial" w:eastAsia="Times New Roman" w:hAnsi="Arial" w:cs="Arial"/>
                <w:color w:val="000000"/>
                <w:sz w:val="20"/>
                <w:szCs w:val="20"/>
                <w:lang w:eastAsia="es-PE"/>
              </w:rPr>
            </w:pPr>
          </w:p>
        </w:tc>
        <w:tc>
          <w:tcPr>
            <w:tcW w:w="1595" w:type="dxa"/>
            <w:gridSpan w:val="3"/>
            <w:tcBorders>
              <w:top w:val="nil"/>
              <w:left w:val="nil"/>
              <w:bottom w:val="single" w:sz="4" w:space="0" w:color="auto"/>
              <w:right w:val="single" w:sz="4" w:space="0" w:color="000000"/>
            </w:tcBorders>
            <w:shd w:val="clear" w:color="000000" w:fill="FFFFFF"/>
            <w:noWrap/>
            <w:vAlign w:val="bottom"/>
            <w:hideMark/>
          </w:tcPr>
          <w:p w14:paraId="6CF6CDD6"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c>
          <w:tcPr>
            <w:tcW w:w="1125" w:type="dxa"/>
            <w:gridSpan w:val="3"/>
            <w:tcBorders>
              <w:top w:val="nil"/>
              <w:left w:val="nil"/>
              <w:bottom w:val="single" w:sz="4" w:space="0" w:color="auto"/>
              <w:right w:val="single" w:sz="4" w:space="0" w:color="000000"/>
            </w:tcBorders>
            <w:shd w:val="clear" w:color="000000" w:fill="FFFFFF"/>
            <w:noWrap/>
            <w:vAlign w:val="bottom"/>
            <w:hideMark/>
          </w:tcPr>
          <w:p w14:paraId="53438699" w14:textId="77777777" w:rsidR="00D12F50" w:rsidRPr="00350879" w:rsidRDefault="00D12F50" w:rsidP="00D12F50">
            <w:pPr>
              <w:spacing w:after="0" w:line="240" w:lineRule="auto"/>
              <w:jc w:val="center"/>
              <w:rPr>
                <w:rFonts w:ascii="Arial" w:eastAsia="Times New Roman" w:hAnsi="Arial" w:cs="Arial"/>
                <w:color w:val="000000"/>
                <w:sz w:val="20"/>
                <w:szCs w:val="20"/>
                <w:lang w:eastAsia="es-PE"/>
              </w:rPr>
            </w:pPr>
            <w:r w:rsidRPr="00350879">
              <w:rPr>
                <w:rFonts w:ascii="Arial" w:eastAsia="Times New Roman" w:hAnsi="Arial" w:cs="Arial"/>
                <w:color w:val="000000"/>
                <w:sz w:val="20"/>
                <w:szCs w:val="20"/>
                <w:lang w:eastAsia="es-PE"/>
              </w:rPr>
              <w:t> </w:t>
            </w:r>
          </w:p>
        </w:tc>
      </w:tr>
      <w:tr w:rsidR="00D12F50" w:rsidRPr="00350879" w14:paraId="3E2F2413" w14:textId="77777777" w:rsidTr="00F11525">
        <w:trPr>
          <w:trHeight w:val="600"/>
        </w:trPr>
        <w:tc>
          <w:tcPr>
            <w:tcW w:w="196" w:type="dxa"/>
            <w:tcBorders>
              <w:top w:val="nil"/>
              <w:left w:val="nil"/>
              <w:bottom w:val="nil"/>
              <w:right w:val="nil"/>
            </w:tcBorders>
            <w:shd w:val="clear" w:color="000000" w:fill="FFFFFF"/>
            <w:noWrap/>
            <w:vAlign w:val="center"/>
            <w:hideMark/>
          </w:tcPr>
          <w:p w14:paraId="7C0E3117" w14:textId="77777777" w:rsidR="00D12F50" w:rsidRPr="00350879" w:rsidRDefault="00D12F50" w:rsidP="00D12F50">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noWrap/>
            <w:vAlign w:val="bottom"/>
            <w:hideMark/>
          </w:tcPr>
          <w:p w14:paraId="477E4075" w14:textId="5CB1705E" w:rsidR="00D12F50" w:rsidRPr="00350879" w:rsidRDefault="00D12F50" w:rsidP="00D12F50">
            <w:pPr>
              <w:spacing w:after="0" w:line="240" w:lineRule="auto"/>
              <w:rPr>
                <w:rFonts w:ascii="Calibri" w:eastAsia="Times New Roman" w:hAnsi="Calibri" w:cs="Calibri"/>
                <w:color w:val="000000"/>
                <w:lang w:eastAsia="es-PE"/>
              </w:rPr>
            </w:pPr>
            <w:r w:rsidRPr="00350879">
              <w:rPr>
                <w:rFonts w:ascii="Calibri" w:eastAsia="Times New Roman" w:hAnsi="Calibri" w:cs="Calibri"/>
                <w:noProof/>
                <w:color w:val="000000"/>
                <w:lang w:eastAsia="es-PE"/>
              </w:rPr>
              <mc:AlternateContent>
                <mc:Choice Requires="wps">
                  <w:drawing>
                    <wp:anchor distT="0" distB="0" distL="114300" distR="114300" simplePos="0" relativeHeight="251768832" behindDoc="0" locked="0" layoutInCell="1" allowOverlap="1" wp14:anchorId="5A9894CE" wp14:editId="009E8719">
                      <wp:simplePos x="0" y="0"/>
                      <wp:positionH relativeFrom="column">
                        <wp:posOffset>3606800</wp:posOffset>
                      </wp:positionH>
                      <wp:positionV relativeFrom="paragraph">
                        <wp:posOffset>25400</wp:posOffset>
                      </wp:positionV>
                      <wp:extent cx="12700" cy="31750"/>
                      <wp:effectExtent l="0" t="0" r="25400" b="25400"/>
                      <wp:wrapNone/>
                      <wp:docPr id="1" name="Rectángulo 1">
                        <a:extLst xmlns:a="http://schemas.openxmlformats.org/drawingml/2006/main">
                          <a:ext uri="{FF2B5EF4-FFF2-40B4-BE49-F238E27FC236}">
                            <a16:creationId xmlns:a16="http://schemas.microsoft.com/office/drawing/2014/main" id="{00000000-0008-0000-1600-0000015C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1428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rect w14:anchorId="32FE0622" id="Rectángulo 1" o:spid="_x0000_s1026" style="position:absolute;margin-left:284pt;margin-top:2pt;width:1pt;height: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"/>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8840"/>
            </w:tblGrid>
            <w:tr w:rsidR="00D12F50" w:rsidRPr="00350879" w14:paraId="0EE1DDB7" w14:textId="77777777">
              <w:trPr>
                <w:trHeight w:val="600"/>
                <w:tblCellSpacing w:w="0" w:type="dxa"/>
              </w:trPr>
              <w:tc>
                <w:tcPr>
                  <w:tcW w:w="8840" w:type="dxa"/>
                  <w:tcBorders>
                    <w:top w:val="nil"/>
                    <w:left w:val="nil"/>
                    <w:bottom w:val="nil"/>
                    <w:right w:val="nil"/>
                  </w:tcBorders>
                  <w:shd w:val="clear" w:color="000000" w:fill="FFFFFF"/>
                  <w:vAlign w:val="center"/>
                  <w:hideMark/>
                </w:tcPr>
                <w:p w14:paraId="517BA125" w14:textId="77777777" w:rsidR="00D12F50" w:rsidRPr="00350879" w:rsidRDefault="00D12F50" w:rsidP="00D12F50">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w:t>
                  </w:r>
                  <w:proofErr w:type="gramStart"/>
                  <w:r w:rsidRPr="00350879">
                    <w:rPr>
                      <w:rFonts w:ascii="Arial" w:eastAsia="Times New Roman" w:hAnsi="Arial" w:cs="Arial"/>
                      <w:color w:val="000000"/>
                      <w:sz w:val="16"/>
                      <w:szCs w:val="16"/>
                      <w:lang w:eastAsia="es-PE"/>
                    </w:rPr>
                    <w:t>*)Se</w:t>
                  </w:r>
                  <w:proofErr w:type="gramEnd"/>
                  <w:r w:rsidRPr="00350879">
                    <w:rPr>
                      <w:rFonts w:ascii="Arial" w:eastAsia="Times New Roman" w:hAnsi="Arial" w:cs="Arial"/>
                      <w:color w:val="000000"/>
                      <w:sz w:val="16"/>
                      <w:szCs w:val="16"/>
                      <w:lang w:eastAsia="es-PE"/>
                    </w:rPr>
                    <w:t xml:space="preserve"> brindará información respecto a las personas que integran o integraron el Comité durante el ejercicio que se reporta.</w:t>
                  </w:r>
                </w:p>
              </w:tc>
            </w:tr>
          </w:tbl>
          <w:p w14:paraId="0A035DB8" w14:textId="77777777" w:rsidR="00D12F50" w:rsidRPr="00350879" w:rsidRDefault="00D12F50" w:rsidP="00D12F50">
            <w:pPr>
              <w:spacing w:after="0" w:line="240" w:lineRule="auto"/>
              <w:rPr>
                <w:rFonts w:ascii="Calibri" w:eastAsia="Times New Roman" w:hAnsi="Calibri" w:cs="Calibri"/>
                <w:color w:val="000000"/>
                <w:lang w:eastAsia="es-PE"/>
              </w:rPr>
            </w:pPr>
          </w:p>
        </w:tc>
      </w:tr>
      <w:tr w:rsidR="00D12F50" w:rsidRPr="00350879" w14:paraId="5B39605E" w14:textId="77777777" w:rsidTr="00F11525">
        <w:trPr>
          <w:trHeight w:val="290"/>
        </w:trPr>
        <w:tc>
          <w:tcPr>
            <w:tcW w:w="196" w:type="dxa"/>
            <w:tcBorders>
              <w:top w:val="nil"/>
              <w:left w:val="nil"/>
              <w:bottom w:val="nil"/>
              <w:right w:val="nil"/>
            </w:tcBorders>
            <w:shd w:val="clear" w:color="000000" w:fill="FFFFFF"/>
            <w:noWrap/>
            <w:vAlign w:val="center"/>
            <w:hideMark/>
          </w:tcPr>
          <w:p w14:paraId="3187CAA4" w14:textId="77777777" w:rsidR="00D12F50" w:rsidRPr="00350879" w:rsidRDefault="00D12F50" w:rsidP="00D12F50">
            <w:pPr>
              <w:spacing w:after="0" w:line="240" w:lineRule="auto"/>
              <w:jc w:val="both"/>
              <w:rPr>
                <w:rFonts w:ascii="Arial" w:eastAsia="Times New Roman" w:hAnsi="Arial" w:cs="Arial"/>
                <w:color w:val="000000"/>
                <w:sz w:val="20"/>
                <w:szCs w:val="20"/>
                <w:lang w:eastAsia="es-PE"/>
              </w:rPr>
            </w:pPr>
            <w:r w:rsidRPr="00350879">
              <w:rPr>
                <w:rFonts w:ascii="Arial" w:eastAsia="Times New Roman" w:hAnsi="Arial" w:cs="Arial"/>
                <w:color w:val="000000"/>
                <w:sz w:val="20"/>
                <w:szCs w:val="20"/>
                <w:vertAlign w:val="superscript"/>
                <w:lang w:eastAsia="es-PE"/>
              </w:rPr>
              <w:t> </w:t>
            </w:r>
          </w:p>
        </w:tc>
        <w:tc>
          <w:tcPr>
            <w:tcW w:w="9699" w:type="dxa"/>
            <w:gridSpan w:val="9"/>
            <w:tcBorders>
              <w:top w:val="nil"/>
              <w:left w:val="nil"/>
              <w:bottom w:val="nil"/>
              <w:right w:val="nil"/>
            </w:tcBorders>
            <w:shd w:val="clear" w:color="000000" w:fill="FFFFFF"/>
            <w:vAlign w:val="center"/>
            <w:hideMark/>
          </w:tcPr>
          <w:p w14:paraId="4175B1F8" w14:textId="77777777" w:rsidR="00D12F50" w:rsidRPr="00350879" w:rsidRDefault="00D12F50" w:rsidP="00D12F50">
            <w:pPr>
              <w:spacing w:after="0" w:line="240" w:lineRule="auto"/>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Corresponde al primer nombramiento como miembro del Comité en la sociedad que reporta.</w:t>
            </w:r>
          </w:p>
        </w:tc>
      </w:tr>
      <w:tr w:rsidR="00D12F50" w:rsidRPr="00350879" w14:paraId="75EC1209" w14:textId="77777777" w:rsidTr="00F11525">
        <w:trPr>
          <w:trHeight w:val="250"/>
        </w:trPr>
        <w:tc>
          <w:tcPr>
            <w:tcW w:w="196" w:type="dxa"/>
            <w:tcBorders>
              <w:top w:val="nil"/>
              <w:left w:val="nil"/>
              <w:bottom w:val="nil"/>
              <w:right w:val="nil"/>
            </w:tcBorders>
            <w:shd w:val="clear" w:color="000000" w:fill="FFFFFF"/>
            <w:noWrap/>
            <w:vAlign w:val="center"/>
            <w:hideMark/>
          </w:tcPr>
          <w:p w14:paraId="4332D7DB" w14:textId="77777777" w:rsidR="00D12F50" w:rsidRPr="00350879" w:rsidRDefault="00D12F50" w:rsidP="00D12F50">
            <w:pPr>
              <w:spacing w:after="0" w:line="240" w:lineRule="auto"/>
              <w:jc w:val="both"/>
              <w:rPr>
                <w:rFonts w:ascii="Arial" w:eastAsia="Times New Roman" w:hAnsi="Arial" w:cs="Arial"/>
                <w:color w:val="000000"/>
                <w:sz w:val="16"/>
                <w:szCs w:val="16"/>
                <w:lang w:eastAsia="es-PE"/>
              </w:rPr>
            </w:pPr>
            <w:r w:rsidRPr="00350879">
              <w:rPr>
                <w:rFonts w:ascii="Arial" w:eastAsia="Times New Roman" w:hAnsi="Arial" w:cs="Arial"/>
                <w:color w:val="000000"/>
                <w:sz w:val="16"/>
                <w:szCs w:val="16"/>
                <w:lang w:eastAsia="es-PE"/>
              </w:rPr>
              <w:t xml:space="preserve"> </w:t>
            </w:r>
          </w:p>
        </w:tc>
        <w:tc>
          <w:tcPr>
            <w:tcW w:w="9699" w:type="dxa"/>
            <w:gridSpan w:val="9"/>
            <w:tcBorders>
              <w:top w:val="nil"/>
              <w:left w:val="nil"/>
              <w:bottom w:val="nil"/>
              <w:right w:val="nil"/>
            </w:tcBorders>
            <w:shd w:val="clear" w:color="auto" w:fill="auto"/>
            <w:vAlign w:val="center"/>
            <w:hideMark/>
          </w:tcPr>
          <w:p w14:paraId="108FC102" w14:textId="77777777" w:rsidR="00D12F50" w:rsidRPr="00350879" w:rsidRDefault="00D12F50" w:rsidP="00D12F50">
            <w:pPr>
              <w:spacing w:after="0" w:line="240" w:lineRule="auto"/>
              <w:rPr>
                <w:rFonts w:ascii="Arial" w:eastAsia="Times New Roman" w:hAnsi="Arial" w:cs="Arial"/>
                <w:sz w:val="16"/>
                <w:szCs w:val="16"/>
                <w:lang w:eastAsia="es-PE"/>
              </w:rPr>
            </w:pPr>
            <w:r w:rsidRPr="00350879">
              <w:rPr>
                <w:rFonts w:ascii="Arial" w:eastAsia="Times New Roman" w:hAnsi="Arial" w:cs="Arial"/>
                <w:sz w:val="16"/>
                <w:szCs w:val="16"/>
                <w:lang w:eastAsia="es-PE"/>
              </w:rPr>
              <w:t>(**</w:t>
            </w:r>
            <w:proofErr w:type="gramStart"/>
            <w:r w:rsidRPr="00350879">
              <w:rPr>
                <w:rFonts w:ascii="Arial" w:eastAsia="Times New Roman" w:hAnsi="Arial" w:cs="Arial"/>
                <w:sz w:val="16"/>
                <w:szCs w:val="16"/>
                <w:lang w:eastAsia="es-PE"/>
              </w:rPr>
              <w:t>*)Completar</w:t>
            </w:r>
            <w:proofErr w:type="gramEnd"/>
            <w:r w:rsidRPr="00350879">
              <w:rPr>
                <w:rFonts w:ascii="Arial" w:eastAsia="Times New Roman" w:hAnsi="Arial" w:cs="Arial"/>
                <w:sz w:val="16"/>
                <w:szCs w:val="16"/>
                <w:lang w:eastAsia="es-PE"/>
              </w:rPr>
              <w:t xml:space="preserve"> sólo en caso de que hubiera dejado de ser parte del Comité durante el ejercicio.</w:t>
            </w:r>
          </w:p>
        </w:tc>
      </w:tr>
    </w:tbl>
    <w:p w14:paraId="341DC154" w14:textId="1B75B1DF" w:rsidR="00317098" w:rsidRPr="00317098" w:rsidRDefault="00317098" w:rsidP="008A4A4C">
      <w:pPr>
        <w:tabs>
          <w:tab w:val="left" w:pos="5060"/>
        </w:tabs>
        <w:rPr>
          <w:rFonts w:ascii="Arial" w:hAnsi="Arial" w:cs="Arial"/>
          <w:sz w:val="20"/>
          <w:szCs w:val="20"/>
        </w:rPr>
      </w:pPr>
    </w:p>
    <w:sectPr w:rsidR="00317098" w:rsidRPr="0031709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C9D18" w14:textId="77777777" w:rsidR="008975AA" w:rsidRDefault="008975AA" w:rsidP="00F15477">
      <w:pPr>
        <w:spacing w:after="0" w:line="240" w:lineRule="auto"/>
      </w:pPr>
      <w:r>
        <w:separator/>
      </w:r>
    </w:p>
  </w:endnote>
  <w:endnote w:type="continuationSeparator" w:id="0">
    <w:p w14:paraId="6975AA69" w14:textId="77777777" w:rsidR="008975AA" w:rsidRDefault="008975AA" w:rsidP="00F15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D14E5" w14:textId="77777777" w:rsidR="008975AA" w:rsidRDefault="008975AA" w:rsidP="00F15477">
      <w:pPr>
        <w:spacing w:after="0" w:line="240" w:lineRule="auto"/>
      </w:pPr>
      <w:r>
        <w:separator/>
      </w:r>
    </w:p>
  </w:footnote>
  <w:footnote w:type="continuationSeparator" w:id="0">
    <w:p w14:paraId="296DB4EC" w14:textId="77777777" w:rsidR="008975AA" w:rsidRDefault="008975AA" w:rsidP="00F15477">
      <w:pPr>
        <w:spacing w:after="0" w:line="240" w:lineRule="auto"/>
      </w:pPr>
      <w:r>
        <w:continuationSeparator/>
      </w:r>
    </w:p>
  </w:footnote>
  <w:footnote w:id="1">
    <w:p w14:paraId="461B5EE5" w14:textId="77777777" w:rsidR="009C7E9A" w:rsidRDefault="009C7E9A" w:rsidP="009C7E9A">
      <w:pPr>
        <w:pStyle w:val="Textonotapie"/>
        <w:ind w:left="284" w:right="-257" w:hanging="284"/>
        <w:jc w:val="both"/>
        <w:rPr>
          <w:rFonts w:cs="Times New Roman"/>
        </w:rPr>
      </w:pPr>
      <w:r>
        <w:rPr>
          <w:rStyle w:val="Refdenotaalpie"/>
        </w:rPr>
        <w:footnoteRef/>
      </w:r>
      <w:r>
        <w:rPr>
          <w:rFonts w:cs="Times New Roman"/>
        </w:rPr>
        <w:t xml:space="preserve"> </w:t>
      </w:r>
      <w:r>
        <w:rPr>
          <w:rFonts w:cs="Times New Roman"/>
        </w:rPr>
        <w:tab/>
      </w:r>
      <w:r>
        <w:rPr>
          <w:rFonts w:ascii="Arial" w:hAnsi="Arial" w:cs="Arial"/>
          <w:sz w:val="16"/>
          <w:szCs w:val="16"/>
        </w:rPr>
        <w:t xml:space="preserve">Se describen </w:t>
      </w:r>
      <w:r>
        <w:rPr>
          <w:rFonts w:ascii="Arial" w:hAnsi="Arial" w:cs="Arial"/>
          <w:sz w:val="16"/>
          <w:szCs w:val="16"/>
          <w:lang w:val="es-MX"/>
        </w:rPr>
        <w:t xml:space="preserve">las principales acciones implementadas durante el ejercicio en términos de buenas prácticas de gobierno corporativo que la Sociedad considere relevante destacar en línea con los </w:t>
      </w:r>
      <w:r>
        <w:rPr>
          <w:rFonts w:ascii="Arial" w:hAnsi="Arial" w:cs="Arial"/>
          <w:sz w:val="16"/>
          <w:szCs w:val="16"/>
          <w:lang w:val="es-AR"/>
        </w:rPr>
        <w:t>cinco pilares que conforman</w:t>
      </w:r>
      <w:r>
        <w:rPr>
          <w:rFonts w:ascii="Arial" w:hAnsi="Arial" w:cs="Arial"/>
          <w:sz w:val="16"/>
          <w:szCs w:val="16"/>
          <w:lang w:val="es-MX"/>
        </w:rPr>
        <w:t xml:space="preserve"> el </w:t>
      </w:r>
      <w:r>
        <w:rPr>
          <w:rFonts w:ascii="Arial" w:hAnsi="Arial" w:cs="Arial"/>
          <w:i/>
          <w:iCs/>
          <w:sz w:val="16"/>
          <w:szCs w:val="16"/>
        </w:rPr>
        <w:t xml:space="preserve">Código de Buen Gobierno Corporativo para las Sociedades Peruanas (2013): </w:t>
      </w:r>
      <w:r>
        <w:rPr>
          <w:rFonts w:ascii="Arial" w:hAnsi="Arial" w:cs="Arial"/>
          <w:sz w:val="16"/>
          <w:szCs w:val="16"/>
          <w:lang w:val="es-MX"/>
        </w:rPr>
        <w:t>Derecho de los Accionistas, Junta General, El Directorio y la Alta Gerencia, Riesgo y Cumplimiento y Transparencia de la Información.</w:t>
      </w:r>
    </w:p>
  </w:footnote>
  <w:footnote w:id="2">
    <w:p w14:paraId="5A740B9B" w14:textId="77777777" w:rsidR="006F41EA" w:rsidRDefault="006F41EA" w:rsidP="00F15477">
      <w:pPr>
        <w:pStyle w:val="Textonotapie"/>
        <w:spacing w:line="240" w:lineRule="atLeast"/>
        <w:ind w:left="284" w:right="-115" w:hanging="284"/>
        <w:jc w:val="both"/>
        <w:rPr>
          <w:rFonts w:ascii="Arial" w:hAnsi="Arial" w:cs="Arial"/>
          <w:sz w:val="16"/>
          <w:szCs w:val="16"/>
        </w:rPr>
      </w:pPr>
      <w:r>
        <w:rPr>
          <w:rStyle w:val="Refdenotaalpie"/>
        </w:rPr>
        <w:footnoteRef/>
      </w:r>
      <w:r>
        <w:rPr>
          <w:rFonts w:cs="Times New Roman"/>
        </w:rPr>
        <w:t xml:space="preserve"> </w:t>
      </w:r>
      <w:r>
        <w:rPr>
          <w:rFonts w:cs="Times New Roman"/>
        </w:rPr>
        <w:tab/>
      </w:r>
      <w:r>
        <w:rPr>
          <w:rFonts w:ascii="Arial" w:hAnsi="Arial" w:cs="Arial"/>
          <w:sz w:val="16"/>
          <w:szCs w:val="16"/>
        </w:rPr>
        <w:t>Se incluye otra información de interés no tratada en las secciones anteriores, que contribuya a que el inversionista y los diversos grupos de interés puedan tener un mayor alcance sobre otras prácticas de buen gobierno corporativo implementadas por la Sociedad, así como las prácticas relacionadas con la responsabilidad social corporativa, la relación con inversionistas institucionales, etc.</w:t>
      </w:r>
    </w:p>
    <w:p w14:paraId="30EE1A44" w14:textId="77777777" w:rsidR="006F41EA" w:rsidRDefault="006F41EA" w:rsidP="00F15477">
      <w:pPr>
        <w:pStyle w:val="Textonotapie"/>
        <w:spacing w:line="240" w:lineRule="atLeast"/>
        <w:ind w:left="284" w:right="-115" w:hanging="284"/>
        <w:jc w:val="both"/>
        <w:rPr>
          <w:rFonts w:ascii="Arial" w:hAnsi="Arial" w:cs="Arial"/>
          <w:sz w:val="16"/>
          <w:szCs w:val="16"/>
        </w:rPr>
      </w:pPr>
      <w:r>
        <w:rPr>
          <w:rFonts w:ascii="Arial" w:hAnsi="Arial" w:cs="Arial"/>
          <w:sz w:val="16"/>
          <w:szCs w:val="16"/>
        </w:rPr>
        <w:tab/>
        <w:t>Asimismo, la Sociedad podrá indicar si se ha adherido voluntariamente a otros códigos de principios éticos o de buenas prácticas, internacionales, sectoriales o de otro ámbito, indicando el código y la fecha de adhesión.</w:t>
      </w:r>
    </w:p>
    <w:p w14:paraId="39727E31" w14:textId="77777777" w:rsidR="006F41EA" w:rsidRDefault="006F41EA" w:rsidP="00F15477">
      <w:pPr>
        <w:pStyle w:val="Textonotapie"/>
        <w:spacing w:line="240" w:lineRule="atLeast"/>
        <w:ind w:left="284" w:right="-115" w:hanging="284"/>
        <w:jc w:val="both"/>
        <w:rPr>
          <w:rFonts w:cs="Times New Roman"/>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8EB"/>
    <w:multiLevelType w:val="hybridMultilevel"/>
    <w:tmpl w:val="975C2D88"/>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A842514"/>
    <w:multiLevelType w:val="hybridMultilevel"/>
    <w:tmpl w:val="3B20A228"/>
    <w:lvl w:ilvl="0" w:tplc="280A000F">
      <w:start w:val="1"/>
      <w:numFmt w:val="decimal"/>
      <w:lvlText w:val="%1."/>
      <w:lvlJc w:val="left"/>
      <w:pPr>
        <w:ind w:left="360" w:hanging="360"/>
      </w:pPr>
    </w:lvl>
    <w:lvl w:ilvl="1" w:tplc="280A0017">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0C1F35A2"/>
    <w:multiLevelType w:val="hybridMultilevel"/>
    <w:tmpl w:val="799A8628"/>
    <w:lvl w:ilvl="0" w:tplc="0C0A0017">
      <w:start w:val="1"/>
      <w:numFmt w:val="lowerLetter"/>
      <w:lvlText w:val="%1)"/>
      <w:lvlJc w:val="left"/>
      <w:pPr>
        <w:ind w:left="926" w:hanging="360"/>
      </w:pPr>
    </w:lvl>
    <w:lvl w:ilvl="1" w:tplc="0C0A0019">
      <w:start w:val="1"/>
      <w:numFmt w:val="lowerLetter"/>
      <w:lvlText w:val="%2."/>
      <w:lvlJc w:val="left"/>
      <w:pPr>
        <w:ind w:left="1646" w:hanging="360"/>
      </w:pPr>
    </w:lvl>
    <w:lvl w:ilvl="2" w:tplc="0C0A001B">
      <w:start w:val="1"/>
      <w:numFmt w:val="lowerRoman"/>
      <w:lvlText w:val="%3."/>
      <w:lvlJc w:val="right"/>
      <w:pPr>
        <w:ind w:left="2366" w:hanging="180"/>
      </w:pPr>
    </w:lvl>
    <w:lvl w:ilvl="3" w:tplc="0C0A000F">
      <w:start w:val="1"/>
      <w:numFmt w:val="decimal"/>
      <w:lvlText w:val="%4."/>
      <w:lvlJc w:val="left"/>
      <w:pPr>
        <w:ind w:left="3086" w:hanging="360"/>
      </w:pPr>
    </w:lvl>
    <w:lvl w:ilvl="4" w:tplc="0C0A0019">
      <w:start w:val="1"/>
      <w:numFmt w:val="lowerLetter"/>
      <w:lvlText w:val="%5."/>
      <w:lvlJc w:val="left"/>
      <w:pPr>
        <w:ind w:left="3806" w:hanging="360"/>
      </w:pPr>
    </w:lvl>
    <w:lvl w:ilvl="5" w:tplc="0C0A001B">
      <w:start w:val="1"/>
      <w:numFmt w:val="lowerRoman"/>
      <w:lvlText w:val="%6."/>
      <w:lvlJc w:val="right"/>
      <w:pPr>
        <w:ind w:left="4526" w:hanging="180"/>
      </w:pPr>
    </w:lvl>
    <w:lvl w:ilvl="6" w:tplc="0C0A000F">
      <w:start w:val="1"/>
      <w:numFmt w:val="decimal"/>
      <w:lvlText w:val="%7."/>
      <w:lvlJc w:val="left"/>
      <w:pPr>
        <w:ind w:left="5246" w:hanging="360"/>
      </w:pPr>
    </w:lvl>
    <w:lvl w:ilvl="7" w:tplc="0C0A0019">
      <w:start w:val="1"/>
      <w:numFmt w:val="lowerLetter"/>
      <w:lvlText w:val="%8."/>
      <w:lvlJc w:val="left"/>
      <w:pPr>
        <w:ind w:left="5966" w:hanging="360"/>
      </w:pPr>
    </w:lvl>
    <w:lvl w:ilvl="8" w:tplc="0C0A001B">
      <w:start w:val="1"/>
      <w:numFmt w:val="lowerRoman"/>
      <w:lvlText w:val="%9."/>
      <w:lvlJc w:val="right"/>
      <w:pPr>
        <w:ind w:left="6686" w:hanging="180"/>
      </w:pPr>
    </w:lvl>
  </w:abstractNum>
  <w:abstractNum w:abstractNumId="3" w15:restartNumberingAfterBreak="0">
    <w:nsid w:val="13CE7061"/>
    <w:multiLevelType w:val="hybridMultilevel"/>
    <w:tmpl w:val="10247D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E72C62"/>
    <w:multiLevelType w:val="hybridMultilevel"/>
    <w:tmpl w:val="B1BC28A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2B743128"/>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6" w15:restartNumberingAfterBreak="0">
    <w:nsid w:val="359F512E"/>
    <w:multiLevelType w:val="hybridMultilevel"/>
    <w:tmpl w:val="37448C28"/>
    <w:lvl w:ilvl="0" w:tplc="9E6E4C8A">
      <w:numFmt w:val="bullet"/>
      <w:lvlText w:val="-"/>
      <w:lvlJc w:val="left"/>
      <w:pPr>
        <w:ind w:left="720" w:hanging="360"/>
      </w:pPr>
      <w:rPr>
        <w:rFonts w:ascii="Calibri" w:eastAsia="Times New Roman" w:hAnsi="Calibri" w:cs="Calibri"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7" w15:restartNumberingAfterBreak="0">
    <w:nsid w:val="375B5F5F"/>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8" w15:restartNumberingAfterBreak="0">
    <w:nsid w:val="3AA22259"/>
    <w:multiLevelType w:val="hybridMultilevel"/>
    <w:tmpl w:val="C186DFF6"/>
    <w:lvl w:ilvl="0" w:tplc="210C3DB4">
      <w:start w:val="1"/>
      <w:numFmt w:val="decimal"/>
      <w:lvlText w:val="%1."/>
      <w:lvlJc w:val="left"/>
      <w:pPr>
        <w:ind w:left="786" w:hanging="360"/>
      </w:pPr>
      <w:rPr>
        <w:rFonts w:hint="default"/>
        <w:sz w:val="22"/>
        <w:szCs w:val="22"/>
      </w:rPr>
    </w:lvl>
    <w:lvl w:ilvl="1" w:tplc="0C0A0003">
      <w:start w:val="1"/>
      <w:numFmt w:val="decimal"/>
      <w:lvlText w:val="%2."/>
      <w:lvlJc w:val="left"/>
      <w:pPr>
        <w:tabs>
          <w:tab w:val="num" w:pos="1506"/>
        </w:tabs>
        <w:ind w:left="1506" w:hanging="360"/>
      </w:pPr>
    </w:lvl>
    <w:lvl w:ilvl="2" w:tplc="0C0A0005">
      <w:start w:val="1"/>
      <w:numFmt w:val="decimal"/>
      <w:lvlText w:val="%3."/>
      <w:lvlJc w:val="left"/>
      <w:pPr>
        <w:tabs>
          <w:tab w:val="num" w:pos="2226"/>
        </w:tabs>
        <w:ind w:left="2226" w:hanging="360"/>
      </w:pPr>
    </w:lvl>
    <w:lvl w:ilvl="3" w:tplc="0C0A0001">
      <w:start w:val="1"/>
      <w:numFmt w:val="decimal"/>
      <w:lvlText w:val="%4."/>
      <w:lvlJc w:val="left"/>
      <w:pPr>
        <w:tabs>
          <w:tab w:val="num" w:pos="2946"/>
        </w:tabs>
        <w:ind w:left="2946" w:hanging="360"/>
      </w:pPr>
    </w:lvl>
    <w:lvl w:ilvl="4" w:tplc="0C0A0003">
      <w:start w:val="1"/>
      <w:numFmt w:val="decimal"/>
      <w:lvlText w:val="%5."/>
      <w:lvlJc w:val="left"/>
      <w:pPr>
        <w:tabs>
          <w:tab w:val="num" w:pos="3666"/>
        </w:tabs>
        <w:ind w:left="3666" w:hanging="360"/>
      </w:pPr>
    </w:lvl>
    <w:lvl w:ilvl="5" w:tplc="0C0A0005">
      <w:start w:val="1"/>
      <w:numFmt w:val="decimal"/>
      <w:lvlText w:val="%6."/>
      <w:lvlJc w:val="left"/>
      <w:pPr>
        <w:tabs>
          <w:tab w:val="num" w:pos="4386"/>
        </w:tabs>
        <w:ind w:left="4386" w:hanging="360"/>
      </w:pPr>
    </w:lvl>
    <w:lvl w:ilvl="6" w:tplc="0C0A0001">
      <w:start w:val="1"/>
      <w:numFmt w:val="decimal"/>
      <w:lvlText w:val="%7."/>
      <w:lvlJc w:val="left"/>
      <w:pPr>
        <w:tabs>
          <w:tab w:val="num" w:pos="5106"/>
        </w:tabs>
        <w:ind w:left="5106" w:hanging="360"/>
      </w:pPr>
    </w:lvl>
    <w:lvl w:ilvl="7" w:tplc="0C0A0003">
      <w:start w:val="1"/>
      <w:numFmt w:val="decimal"/>
      <w:lvlText w:val="%8."/>
      <w:lvlJc w:val="left"/>
      <w:pPr>
        <w:tabs>
          <w:tab w:val="num" w:pos="5826"/>
        </w:tabs>
        <w:ind w:left="5826" w:hanging="360"/>
      </w:pPr>
    </w:lvl>
    <w:lvl w:ilvl="8" w:tplc="0C0A0005">
      <w:start w:val="1"/>
      <w:numFmt w:val="decimal"/>
      <w:lvlText w:val="%9."/>
      <w:lvlJc w:val="left"/>
      <w:pPr>
        <w:tabs>
          <w:tab w:val="num" w:pos="6546"/>
        </w:tabs>
        <w:ind w:left="6546" w:hanging="360"/>
      </w:pPr>
    </w:lvl>
  </w:abstractNum>
  <w:abstractNum w:abstractNumId="9" w15:restartNumberingAfterBreak="0">
    <w:nsid w:val="5F8120CE"/>
    <w:multiLevelType w:val="hybridMultilevel"/>
    <w:tmpl w:val="C924F896"/>
    <w:lvl w:ilvl="0" w:tplc="9E6E4C8A">
      <w:numFmt w:val="bullet"/>
      <w:lvlText w:val="-"/>
      <w:lvlJc w:val="left"/>
      <w:pPr>
        <w:ind w:left="720" w:hanging="360"/>
      </w:pPr>
      <w:rPr>
        <w:rFonts w:ascii="Calibri" w:eastAsia="Times New Roman"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7A444A9C"/>
    <w:multiLevelType w:val="hybridMultilevel"/>
    <w:tmpl w:val="3F4CAD64"/>
    <w:lvl w:ilvl="0" w:tplc="158C0286">
      <w:start w:val="1"/>
      <w:numFmt w:val="decimalZero"/>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7E7F20E2"/>
    <w:multiLevelType w:val="hybridMultilevel"/>
    <w:tmpl w:val="6F569C3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724522511">
    <w:abstractNumId w:val="0"/>
  </w:num>
  <w:num w:numId="2" w16cid:durableId="939605198">
    <w:abstractNumId w:val="8"/>
  </w:num>
  <w:num w:numId="3" w16cid:durableId="1345088946">
    <w:abstractNumId w:val="7"/>
  </w:num>
  <w:num w:numId="4" w16cid:durableId="1672414420">
    <w:abstractNumId w:val="5"/>
  </w:num>
  <w:num w:numId="5" w16cid:durableId="2959924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85019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24480048">
    <w:abstractNumId w:val="4"/>
  </w:num>
  <w:num w:numId="8" w16cid:durableId="835413517">
    <w:abstractNumId w:val="11"/>
  </w:num>
  <w:num w:numId="9" w16cid:durableId="923999535">
    <w:abstractNumId w:val="6"/>
  </w:num>
  <w:num w:numId="10" w16cid:durableId="291788725">
    <w:abstractNumId w:val="10"/>
  </w:num>
  <w:num w:numId="11" w16cid:durableId="1016156017">
    <w:abstractNumId w:val="9"/>
  </w:num>
  <w:num w:numId="12" w16cid:durableId="527184046">
    <w:abstractNumId w:val="3"/>
  </w:num>
  <w:num w:numId="13" w16cid:durableId="170482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B45"/>
    <w:rsid w:val="000156DF"/>
    <w:rsid w:val="00024E81"/>
    <w:rsid w:val="00056E1F"/>
    <w:rsid w:val="000740E2"/>
    <w:rsid w:val="00081AA6"/>
    <w:rsid w:val="000A0261"/>
    <w:rsid w:val="000A3292"/>
    <w:rsid w:val="000B1421"/>
    <w:rsid w:val="000E1502"/>
    <w:rsid w:val="000F38C1"/>
    <w:rsid w:val="00102CAE"/>
    <w:rsid w:val="00107286"/>
    <w:rsid w:val="00150DD0"/>
    <w:rsid w:val="00166754"/>
    <w:rsid w:val="00166F56"/>
    <w:rsid w:val="001B0928"/>
    <w:rsid w:val="001B17B4"/>
    <w:rsid w:val="001B3ADF"/>
    <w:rsid w:val="001D245D"/>
    <w:rsid w:val="001E0DCD"/>
    <w:rsid w:val="001F154F"/>
    <w:rsid w:val="001F4EEE"/>
    <w:rsid w:val="00203222"/>
    <w:rsid w:val="0022173D"/>
    <w:rsid w:val="00237C01"/>
    <w:rsid w:val="00242A56"/>
    <w:rsid w:val="00246B08"/>
    <w:rsid w:val="002569C9"/>
    <w:rsid w:val="00261450"/>
    <w:rsid w:val="00271B36"/>
    <w:rsid w:val="002825E3"/>
    <w:rsid w:val="002E2604"/>
    <w:rsid w:val="002F24FE"/>
    <w:rsid w:val="0030369F"/>
    <w:rsid w:val="003046D2"/>
    <w:rsid w:val="00315681"/>
    <w:rsid w:val="00317098"/>
    <w:rsid w:val="00324375"/>
    <w:rsid w:val="00325774"/>
    <w:rsid w:val="00337E6B"/>
    <w:rsid w:val="00343815"/>
    <w:rsid w:val="003452A4"/>
    <w:rsid w:val="00350879"/>
    <w:rsid w:val="0037359C"/>
    <w:rsid w:val="003767D5"/>
    <w:rsid w:val="00387AA4"/>
    <w:rsid w:val="003B0C22"/>
    <w:rsid w:val="003D0602"/>
    <w:rsid w:val="00400021"/>
    <w:rsid w:val="0044547D"/>
    <w:rsid w:val="0045160F"/>
    <w:rsid w:val="00461C60"/>
    <w:rsid w:val="00462082"/>
    <w:rsid w:val="00472567"/>
    <w:rsid w:val="004A2F54"/>
    <w:rsid w:val="004A3096"/>
    <w:rsid w:val="004A66CB"/>
    <w:rsid w:val="004B2CA0"/>
    <w:rsid w:val="004E3B41"/>
    <w:rsid w:val="004F54B2"/>
    <w:rsid w:val="00501CA2"/>
    <w:rsid w:val="005464E2"/>
    <w:rsid w:val="00561B71"/>
    <w:rsid w:val="00577D61"/>
    <w:rsid w:val="0058744D"/>
    <w:rsid w:val="0059492A"/>
    <w:rsid w:val="005972BC"/>
    <w:rsid w:val="005B5996"/>
    <w:rsid w:val="005D1F2B"/>
    <w:rsid w:val="005E3CD1"/>
    <w:rsid w:val="0061378C"/>
    <w:rsid w:val="00624D67"/>
    <w:rsid w:val="006374F2"/>
    <w:rsid w:val="00642FD0"/>
    <w:rsid w:val="00652998"/>
    <w:rsid w:val="00652B65"/>
    <w:rsid w:val="00696A5B"/>
    <w:rsid w:val="006A2A0C"/>
    <w:rsid w:val="006A71D3"/>
    <w:rsid w:val="006B171A"/>
    <w:rsid w:val="006B5C2B"/>
    <w:rsid w:val="006F41EA"/>
    <w:rsid w:val="00705334"/>
    <w:rsid w:val="00706867"/>
    <w:rsid w:val="0071085F"/>
    <w:rsid w:val="00712B95"/>
    <w:rsid w:val="0072632A"/>
    <w:rsid w:val="00746B6A"/>
    <w:rsid w:val="00753385"/>
    <w:rsid w:val="00781F94"/>
    <w:rsid w:val="00787A00"/>
    <w:rsid w:val="007C769F"/>
    <w:rsid w:val="007F17A2"/>
    <w:rsid w:val="00803E4D"/>
    <w:rsid w:val="008126ED"/>
    <w:rsid w:val="0085293F"/>
    <w:rsid w:val="00860925"/>
    <w:rsid w:val="00860FBF"/>
    <w:rsid w:val="0086630D"/>
    <w:rsid w:val="00884215"/>
    <w:rsid w:val="00887A9F"/>
    <w:rsid w:val="008975AA"/>
    <w:rsid w:val="008A4A4C"/>
    <w:rsid w:val="008D0FA3"/>
    <w:rsid w:val="009110C9"/>
    <w:rsid w:val="00933CF9"/>
    <w:rsid w:val="0093755F"/>
    <w:rsid w:val="00950D8F"/>
    <w:rsid w:val="00956694"/>
    <w:rsid w:val="00956B5A"/>
    <w:rsid w:val="009812CC"/>
    <w:rsid w:val="00983149"/>
    <w:rsid w:val="009C7E9A"/>
    <w:rsid w:val="009D703C"/>
    <w:rsid w:val="009E1754"/>
    <w:rsid w:val="009E18BE"/>
    <w:rsid w:val="00A126B4"/>
    <w:rsid w:val="00A30320"/>
    <w:rsid w:val="00A34EC7"/>
    <w:rsid w:val="00A64FAB"/>
    <w:rsid w:val="00A77CB8"/>
    <w:rsid w:val="00A8151A"/>
    <w:rsid w:val="00A8672A"/>
    <w:rsid w:val="00A92752"/>
    <w:rsid w:val="00A93170"/>
    <w:rsid w:val="00AB1777"/>
    <w:rsid w:val="00AC2A79"/>
    <w:rsid w:val="00AC3124"/>
    <w:rsid w:val="00AD745C"/>
    <w:rsid w:val="00AE5EB5"/>
    <w:rsid w:val="00AE7D47"/>
    <w:rsid w:val="00AF12AD"/>
    <w:rsid w:val="00B00B86"/>
    <w:rsid w:val="00B124B6"/>
    <w:rsid w:val="00B31FC6"/>
    <w:rsid w:val="00B4030B"/>
    <w:rsid w:val="00B5014A"/>
    <w:rsid w:val="00B905D9"/>
    <w:rsid w:val="00BA1AEB"/>
    <w:rsid w:val="00BA4F24"/>
    <w:rsid w:val="00BA7DB1"/>
    <w:rsid w:val="00BB3572"/>
    <w:rsid w:val="00BD3B26"/>
    <w:rsid w:val="00BE6738"/>
    <w:rsid w:val="00BF183E"/>
    <w:rsid w:val="00C0029C"/>
    <w:rsid w:val="00C462DD"/>
    <w:rsid w:val="00C475A1"/>
    <w:rsid w:val="00C757F8"/>
    <w:rsid w:val="00C8269C"/>
    <w:rsid w:val="00CA3E6B"/>
    <w:rsid w:val="00CB5FF7"/>
    <w:rsid w:val="00CD7F36"/>
    <w:rsid w:val="00CF050E"/>
    <w:rsid w:val="00D12F50"/>
    <w:rsid w:val="00D23332"/>
    <w:rsid w:val="00D25850"/>
    <w:rsid w:val="00D31095"/>
    <w:rsid w:val="00D4235D"/>
    <w:rsid w:val="00D66F5A"/>
    <w:rsid w:val="00D83C2F"/>
    <w:rsid w:val="00D85C17"/>
    <w:rsid w:val="00DC5095"/>
    <w:rsid w:val="00DD46A5"/>
    <w:rsid w:val="00DF6E14"/>
    <w:rsid w:val="00E10B7A"/>
    <w:rsid w:val="00E265EA"/>
    <w:rsid w:val="00E3435C"/>
    <w:rsid w:val="00E345E2"/>
    <w:rsid w:val="00E63332"/>
    <w:rsid w:val="00E64386"/>
    <w:rsid w:val="00E64423"/>
    <w:rsid w:val="00E72AA2"/>
    <w:rsid w:val="00E86736"/>
    <w:rsid w:val="00E95A39"/>
    <w:rsid w:val="00E96ABF"/>
    <w:rsid w:val="00EB1794"/>
    <w:rsid w:val="00EB2FC4"/>
    <w:rsid w:val="00EC5880"/>
    <w:rsid w:val="00ED5CA4"/>
    <w:rsid w:val="00F07F51"/>
    <w:rsid w:val="00F11525"/>
    <w:rsid w:val="00F11B45"/>
    <w:rsid w:val="00F11DAC"/>
    <w:rsid w:val="00F1242B"/>
    <w:rsid w:val="00F15477"/>
    <w:rsid w:val="00F31426"/>
    <w:rsid w:val="00F70ECF"/>
    <w:rsid w:val="00F76611"/>
    <w:rsid w:val="00F91E8C"/>
    <w:rsid w:val="00F9658E"/>
    <w:rsid w:val="00FD4724"/>
    <w:rsid w:val="00FF25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45C9"/>
  <w15:docId w15:val="{CE3DC8CF-F434-4156-9134-D34538036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11B45"/>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F11B45"/>
    <w:pPr>
      <w:ind w:left="720"/>
      <w:contextualSpacing/>
    </w:pPr>
  </w:style>
  <w:style w:type="paragraph" w:styleId="Textonotapie">
    <w:name w:val="footnote text"/>
    <w:basedOn w:val="Normal"/>
    <w:link w:val="TextonotapieCar"/>
    <w:uiPriority w:val="99"/>
    <w:unhideWhenUsed/>
    <w:rsid w:val="00F15477"/>
    <w:pPr>
      <w:spacing w:after="0" w:line="240" w:lineRule="auto"/>
    </w:pPr>
    <w:rPr>
      <w:sz w:val="20"/>
      <w:szCs w:val="20"/>
    </w:rPr>
  </w:style>
  <w:style w:type="character" w:customStyle="1" w:styleId="TextonotapieCar">
    <w:name w:val="Texto nota pie Car"/>
    <w:basedOn w:val="Fuentedeprrafopredeter"/>
    <w:link w:val="Textonotapie"/>
    <w:uiPriority w:val="99"/>
    <w:rsid w:val="00F15477"/>
    <w:rPr>
      <w:sz w:val="20"/>
      <w:szCs w:val="20"/>
    </w:rPr>
  </w:style>
  <w:style w:type="character" w:styleId="Refdenotaalpie">
    <w:name w:val="footnote reference"/>
    <w:basedOn w:val="Fuentedeprrafopredeter"/>
    <w:uiPriority w:val="99"/>
    <w:unhideWhenUsed/>
    <w:rsid w:val="00F15477"/>
    <w:rPr>
      <w:vertAlign w:val="superscript"/>
    </w:rPr>
  </w:style>
  <w:style w:type="paragraph" w:styleId="Textodeglobo">
    <w:name w:val="Balloon Text"/>
    <w:basedOn w:val="Normal"/>
    <w:link w:val="TextodegloboCar"/>
    <w:uiPriority w:val="99"/>
    <w:semiHidden/>
    <w:unhideWhenUsed/>
    <w:rsid w:val="00E3435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435C"/>
    <w:rPr>
      <w:rFonts w:ascii="Tahoma" w:hAnsi="Tahoma" w:cs="Tahoma"/>
      <w:sz w:val="16"/>
      <w:szCs w:val="16"/>
    </w:rPr>
  </w:style>
  <w:style w:type="character" w:styleId="Hipervnculo">
    <w:name w:val="Hyperlink"/>
    <w:basedOn w:val="Fuentedeprrafopredeter"/>
    <w:uiPriority w:val="99"/>
    <w:semiHidden/>
    <w:unhideWhenUsed/>
    <w:rsid w:val="000A3292"/>
    <w:rPr>
      <w:color w:val="0000FF"/>
      <w:u w:val="single"/>
    </w:rPr>
  </w:style>
  <w:style w:type="paragraph" w:styleId="Textocomentario">
    <w:name w:val="annotation text"/>
    <w:basedOn w:val="Normal"/>
    <w:link w:val="TextocomentarioCar"/>
    <w:uiPriority w:val="99"/>
    <w:semiHidden/>
    <w:unhideWhenUsed/>
    <w:rsid w:val="000A3292"/>
    <w:pPr>
      <w:spacing w:after="0" w:line="240" w:lineRule="auto"/>
    </w:pPr>
    <w:rPr>
      <w:rFonts w:ascii="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semiHidden/>
    <w:rsid w:val="000A3292"/>
    <w:rPr>
      <w:rFonts w:ascii="Times New Roman" w:hAnsi="Times New Roman" w:cs="Times New Roman"/>
      <w:sz w:val="20"/>
      <w:szCs w:val="20"/>
      <w:lang w:eastAsia="es-ES"/>
    </w:rPr>
  </w:style>
  <w:style w:type="character" w:styleId="Refdecomentario">
    <w:name w:val="annotation reference"/>
    <w:basedOn w:val="Fuentedeprrafopredeter"/>
    <w:uiPriority w:val="99"/>
    <w:semiHidden/>
    <w:unhideWhenUsed/>
    <w:rsid w:val="000A3292"/>
  </w:style>
  <w:style w:type="paragraph" w:styleId="Asuntodelcomentario">
    <w:name w:val="annotation subject"/>
    <w:basedOn w:val="Textocomentario"/>
    <w:next w:val="Textocomentario"/>
    <w:link w:val="AsuntodelcomentarioCar"/>
    <w:uiPriority w:val="99"/>
    <w:semiHidden/>
    <w:unhideWhenUsed/>
    <w:rsid w:val="00887A9F"/>
    <w:pPr>
      <w:spacing w:after="200"/>
    </w:pPr>
    <w:rPr>
      <w:rFonts w:ascii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7A9F"/>
    <w:rPr>
      <w:rFonts w:ascii="Times New Roman" w:hAnsi="Times New Roman" w:cs="Times New Roman"/>
      <w:b/>
      <w:bCs/>
      <w:sz w:val="20"/>
      <w:szCs w:val="20"/>
      <w:lang w:eastAsia="es-ES"/>
    </w:rPr>
  </w:style>
  <w:style w:type="character" w:customStyle="1" w:styleId="xcontentpasted3">
    <w:name w:val="x_contentpasted3"/>
    <w:basedOn w:val="Fuentedeprrafopredeter"/>
    <w:rsid w:val="00A126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8363">
      <w:bodyDiv w:val="1"/>
      <w:marLeft w:val="0"/>
      <w:marRight w:val="0"/>
      <w:marTop w:val="0"/>
      <w:marBottom w:val="0"/>
      <w:divBdr>
        <w:top w:val="none" w:sz="0" w:space="0" w:color="auto"/>
        <w:left w:val="none" w:sz="0" w:space="0" w:color="auto"/>
        <w:bottom w:val="none" w:sz="0" w:space="0" w:color="auto"/>
        <w:right w:val="none" w:sz="0" w:space="0" w:color="auto"/>
      </w:divBdr>
    </w:div>
    <w:div w:id="31537364">
      <w:bodyDiv w:val="1"/>
      <w:marLeft w:val="0"/>
      <w:marRight w:val="0"/>
      <w:marTop w:val="0"/>
      <w:marBottom w:val="0"/>
      <w:divBdr>
        <w:top w:val="none" w:sz="0" w:space="0" w:color="auto"/>
        <w:left w:val="none" w:sz="0" w:space="0" w:color="auto"/>
        <w:bottom w:val="none" w:sz="0" w:space="0" w:color="auto"/>
        <w:right w:val="none" w:sz="0" w:space="0" w:color="auto"/>
      </w:divBdr>
      <w:divsChild>
        <w:div w:id="1342390066">
          <w:marLeft w:val="0"/>
          <w:marRight w:val="0"/>
          <w:marTop w:val="0"/>
          <w:marBottom w:val="0"/>
          <w:divBdr>
            <w:top w:val="none" w:sz="0" w:space="0" w:color="auto"/>
            <w:left w:val="none" w:sz="0" w:space="0" w:color="auto"/>
            <w:bottom w:val="none" w:sz="0" w:space="0" w:color="auto"/>
            <w:right w:val="none" w:sz="0" w:space="0" w:color="auto"/>
          </w:divBdr>
        </w:div>
      </w:divsChild>
    </w:div>
    <w:div w:id="43800760">
      <w:bodyDiv w:val="1"/>
      <w:marLeft w:val="0"/>
      <w:marRight w:val="0"/>
      <w:marTop w:val="0"/>
      <w:marBottom w:val="0"/>
      <w:divBdr>
        <w:top w:val="none" w:sz="0" w:space="0" w:color="auto"/>
        <w:left w:val="none" w:sz="0" w:space="0" w:color="auto"/>
        <w:bottom w:val="none" w:sz="0" w:space="0" w:color="auto"/>
        <w:right w:val="none" w:sz="0" w:space="0" w:color="auto"/>
      </w:divBdr>
      <w:divsChild>
        <w:div w:id="594285266">
          <w:marLeft w:val="0"/>
          <w:marRight w:val="0"/>
          <w:marTop w:val="0"/>
          <w:marBottom w:val="0"/>
          <w:divBdr>
            <w:top w:val="none" w:sz="0" w:space="0" w:color="auto"/>
            <w:left w:val="none" w:sz="0" w:space="0" w:color="auto"/>
            <w:bottom w:val="none" w:sz="0" w:space="0" w:color="auto"/>
            <w:right w:val="none" w:sz="0" w:space="0" w:color="auto"/>
          </w:divBdr>
        </w:div>
      </w:divsChild>
    </w:div>
    <w:div w:id="282422986">
      <w:bodyDiv w:val="1"/>
      <w:marLeft w:val="0"/>
      <w:marRight w:val="0"/>
      <w:marTop w:val="0"/>
      <w:marBottom w:val="0"/>
      <w:divBdr>
        <w:top w:val="none" w:sz="0" w:space="0" w:color="auto"/>
        <w:left w:val="none" w:sz="0" w:space="0" w:color="auto"/>
        <w:bottom w:val="none" w:sz="0" w:space="0" w:color="auto"/>
        <w:right w:val="none" w:sz="0" w:space="0" w:color="auto"/>
      </w:divBdr>
    </w:div>
    <w:div w:id="290524064">
      <w:bodyDiv w:val="1"/>
      <w:marLeft w:val="0"/>
      <w:marRight w:val="0"/>
      <w:marTop w:val="0"/>
      <w:marBottom w:val="0"/>
      <w:divBdr>
        <w:top w:val="none" w:sz="0" w:space="0" w:color="auto"/>
        <w:left w:val="none" w:sz="0" w:space="0" w:color="auto"/>
        <w:bottom w:val="none" w:sz="0" w:space="0" w:color="auto"/>
        <w:right w:val="none" w:sz="0" w:space="0" w:color="auto"/>
      </w:divBdr>
    </w:div>
    <w:div w:id="570576152">
      <w:bodyDiv w:val="1"/>
      <w:marLeft w:val="0"/>
      <w:marRight w:val="0"/>
      <w:marTop w:val="0"/>
      <w:marBottom w:val="0"/>
      <w:divBdr>
        <w:top w:val="none" w:sz="0" w:space="0" w:color="auto"/>
        <w:left w:val="none" w:sz="0" w:space="0" w:color="auto"/>
        <w:bottom w:val="none" w:sz="0" w:space="0" w:color="auto"/>
        <w:right w:val="none" w:sz="0" w:space="0" w:color="auto"/>
      </w:divBdr>
    </w:div>
    <w:div w:id="659501692">
      <w:bodyDiv w:val="1"/>
      <w:marLeft w:val="0"/>
      <w:marRight w:val="0"/>
      <w:marTop w:val="0"/>
      <w:marBottom w:val="0"/>
      <w:divBdr>
        <w:top w:val="none" w:sz="0" w:space="0" w:color="auto"/>
        <w:left w:val="none" w:sz="0" w:space="0" w:color="auto"/>
        <w:bottom w:val="none" w:sz="0" w:space="0" w:color="auto"/>
        <w:right w:val="none" w:sz="0" w:space="0" w:color="auto"/>
      </w:divBdr>
    </w:div>
    <w:div w:id="673536984">
      <w:bodyDiv w:val="1"/>
      <w:marLeft w:val="0"/>
      <w:marRight w:val="0"/>
      <w:marTop w:val="0"/>
      <w:marBottom w:val="0"/>
      <w:divBdr>
        <w:top w:val="none" w:sz="0" w:space="0" w:color="auto"/>
        <w:left w:val="none" w:sz="0" w:space="0" w:color="auto"/>
        <w:bottom w:val="none" w:sz="0" w:space="0" w:color="auto"/>
        <w:right w:val="none" w:sz="0" w:space="0" w:color="auto"/>
      </w:divBdr>
    </w:div>
    <w:div w:id="833229910">
      <w:bodyDiv w:val="1"/>
      <w:marLeft w:val="0"/>
      <w:marRight w:val="0"/>
      <w:marTop w:val="0"/>
      <w:marBottom w:val="0"/>
      <w:divBdr>
        <w:top w:val="none" w:sz="0" w:space="0" w:color="auto"/>
        <w:left w:val="none" w:sz="0" w:space="0" w:color="auto"/>
        <w:bottom w:val="none" w:sz="0" w:space="0" w:color="auto"/>
        <w:right w:val="none" w:sz="0" w:space="0" w:color="auto"/>
      </w:divBdr>
      <w:divsChild>
        <w:div w:id="620380102">
          <w:marLeft w:val="0"/>
          <w:marRight w:val="0"/>
          <w:marTop w:val="0"/>
          <w:marBottom w:val="0"/>
          <w:divBdr>
            <w:top w:val="none" w:sz="0" w:space="0" w:color="auto"/>
            <w:left w:val="none" w:sz="0" w:space="0" w:color="auto"/>
            <w:bottom w:val="none" w:sz="0" w:space="0" w:color="auto"/>
            <w:right w:val="none" w:sz="0" w:space="0" w:color="auto"/>
          </w:divBdr>
        </w:div>
      </w:divsChild>
    </w:div>
    <w:div w:id="931939152">
      <w:bodyDiv w:val="1"/>
      <w:marLeft w:val="0"/>
      <w:marRight w:val="0"/>
      <w:marTop w:val="0"/>
      <w:marBottom w:val="0"/>
      <w:divBdr>
        <w:top w:val="none" w:sz="0" w:space="0" w:color="auto"/>
        <w:left w:val="none" w:sz="0" w:space="0" w:color="auto"/>
        <w:bottom w:val="none" w:sz="0" w:space="0" w:color="auto"/>
        <w:right w:val="none" w:sz="0" w:space="0" w:color="auto"/>
      </w:divBdr>
      <w:divsChild>
        <w:div w:id="1480659020">
          <w:marLeft w:val="0"/>
          <w:marRight w:val="0"/>
          <w:marTop w:val="0"/>
          <w:marBottom w:val="0"/>
          <w:divBdr>
            <w:top w:val="none" w:sz="0" w:space="0" w:color="auto"/>
            <w:left w:val="none" w:sz="0" w:space="0" w:color="auto"/>
            <w:bottom w:val="none" w:sz="0" w:space="0" w:color="auto"/>
            <w:right w:val="none" w:sz="0" w:space="0" w:color="auto"/>
          </w:divBdr>
        </w:div>
      </w:divsChild>
    </w:div>
    <w:div w:id="1258517440">
      <w:bodyDiv w:val="1"/>
      <w:marLeft w:val="0"/>
      <w:marRight w:val="0"/>
      <w:marTop w:val="0"/>
      <w:marBottom w:val="0"/>
      <w:divBdr>
        <w:top w:val="none" w:sz="0" w:space="0" w:color="auto"/>
        <w:left w:val="none" w:sz="0" w:space="0" w:color="auto"/>
        <w:bottom w:val="none" w:sz="0" w:space="0" w:color="auto"/>
        <w:right w:val="none" w:sz="0" w:space="0" w:color="auto"/>
      </w:divBdr>
    </w:div>
    <w:div w:id="1463766864">
      <w:bodyDiv w:val="1"/>
      <w:marLeft w:val="0"/>
      <w:marRight w:val="0"/>
      <w:marTop w:val="0"/>
      <w:marBottom w:val="0"/>
      <w:divBdr>
        <w:top w:val="none" w:sz="0" w:space="0" w:color="auto"/>
        <w:left w:val="none" w:sz="0" w:space="0" w:color="auto"/>
        <w:bottom w:val="none" w:sz="0" w:space="0" w:color="auto"/>
        <w:right w:val="none" w:sz="0" w:space="0" w:color="auto"/>
      </w:divBdr>
    </w:div>
    <w:div w:id="1485119834">
      <w:bodyDiv w:val="1"/>
      <w:marLeft w:val="0"/>
      <w:marRight w:val="0"/>
      <w:marTop w:val="0"/>
      <w:marBottom w:val="0"/>
      <w:divBdr>
        <w:top w:val="none" w:sz="0" w:space="0" w:color="auto"/>
        <w:left w:val="none" w:sz="0" w:space="0" w:color="auto"/>
        <w:bottom w:val="none" w:sz="0" w:space="0" w:color="auto"/>
        <w:right w:val="none" w:sz="0" w:space="0" w:color="auto"/>
      </w:divBdr>
    </w:div>
    <w:div w:id="1598247641">
      <w:bodyDiv w:val="1"/>
      <w:marLeft w:val="0"/>
      <w:marRight w:val="0"/>
      <w:marTop w:val="0"/>
      <w:marBottom w:val="0"/>
      <w:divBdr>
        <w:top w:val="none" w:sz="0" w:space="0" w:color="auto"/>
        <w:left w:val="none" w:sz="0" w:space="0" w:color="auto"/>
        <w:bottom w:val="none" w:sz="0" w:space="0" w:color="auto"/>
        <w:right w:val="none" w:sz="0" w:space="0" w:color="auto"/>
      </w:divBdr>
      <w:divsChild>
        <w:div w:id="1572501985">
          <w:marLeft w:val="0"/>
          <w:marRight w:val="0"/>
          <w:marTop w:val="0"/>
          <w:marBottom w:val="0"/>
          <w:divBdr>
            <w:top w:val="none" w:sz="0" w:space="0" w:color="auto"/>
            <w:left w:val="none" w:sz="0" w:space="0" w:color="auto"/>
            <w:bottom w:val="none" w:sz="0" w:space="0" w:color="auto"/>
            <w:right w:val="none" w:sz="0" w:space="0" w:color="auto"/>
          </w:divBdr>
        </w:div>
      </w:divsChild>
    </w:div>
    <w:div w:id="1604023569">
      <w:bodyDiv w:val="1"/>
      <w:marLeft w:val="0"/>
      <w:marRight w:val="0"/>
      <w:marTop w:val="0"/>
      <w:marBottom w:val="0"/>
      <w:divBdr>
        <w:top w:val="none" w:sz="0" w:space="0" w:color="auto"/>
        <w:left w:val="none" w:sz="0" w:space="0" w:color="auto"/>
        <w:bottom w:val="none" w:sz="0" w:space="0" w:color="auto"/>
        <w:right w:val="none" w:sz="0" w:space="0" w:color="auto"/>
      </w:divBdr>
      <w:divsChild>
        <w:div w:id="1551114725">
          <w:marLeft w:val="0"/>
          <w:marRight w:val="0"/>
          <w:marTop w:val="0"/>
          <w:marBottom w:val="0"/>
          <w:divBdr>
            <w:top w:val="none" w:sz="0" w:space="0" w:color="auto"/>
            <w:left w:val="none" w:sz="0" w:space="0" w:color="auto"/>
            <w:bottom w:val="none" w:sz="0" w:space="0" w:color="auto"/>
            <w:right w:val="none" w:sz="0" w:space="0" w:color="auto"/>
          </w:divBdr>
        </w:div>
      </w:divsChild>
    </w:div>
    <w:div w:id="1675500210">
      <w:bodyDiv w:val="1"/>
      <w:marLeft w:val="0"/>
      <w:marRight w:val="0"/>
      <w:marTop w:val="0"/>
      <w:marBottom w:val="0"/>
      <w:divBdr>
        <w:top w:val="none" w:sz="0" w:space="0" w:color="auto"/>
        <w:left w:val="none" w:sz="0" w:space="0" w:color="auto"/>
        <w:bottom w:val="none" w:sz="0" w:space="0" w:color="auto"/>
        <w:right w:val="none" w:sz="0" w:space="0" w:color="auto"/>
      </w:divBdr>
    </w:div>
    <w:div w:id="1692998481">
      <w:bodyDiv w:val="1"/>
      <w:marLeft w:val="0"/>
      <w:marRight w:val="0"/>
      <w:marTop w:val="0"/>
      <w:marBottom w:val="0"/>
      <w:divBdr>
        <w:top w:val="none" w:sz="0" w:space="0" w:color="auto"/>
        <w:left w:val="none" w:sz="0" w:space="0" w:color="auto"/>
        <w:bottom w:val="none" w:sz="0" w:space="0" w:color="auto"/>
        <w:right w:val="none" w:sz="0" w:space="0" w:color="auto"/>
      </w:divBdr>
    </w:div>
    <w:div w:id="1790469990">
      <w:bodyDiv w:val="1"/>
      <w:marLeft w:val="0"/>
      <w:marRight w:val="0"/>
      <w:marTop w:val="0"/>
      <w:marBottom w:val="0"/>
      <w:divBdr>
        <w:top w:val="none" w:sz="0" w:space="0" w:color="auto"/>
        <w:left w:val="none" w:sz="0" w:space="0" w:color="auto"/>
        <w:bottom w:val="none" w:sz="0" w:space="0" w:color="auto"/>
        <w:right w:val="none" w:sz="0" w:space="0" w:color="auto"/>
      </w:divBdr>
    </w:div>
    <w:div w:id="1792359643">
      <w:bodyDiv w:val="1"/>
      <w:marLeft w:val="0"/>
      <w:marRight w:val="0"/>
      <w:marTop w:val="0"/>
      <w:marBottom w:val="0"/>
      <w:divBdr>
        <w:top w:val="none" w:sz="0" w:space="0" w:color="auto"/>
        <w:left w:val="none" w:sz="0" w:space="0" w:color="auto"/>
        <w:bottom w:val="none" w:sz="0" w:space="0" w:color="auto"/>
        <w:right w:val="none" w:sz="0" w:space="0" w:color="auto"/>
      </w:divBdr>
    </w:div>
    <w:div w:id="2055348626">
      <w:bodyDiv w:val="1"/>
      <w:marLeft w:val="0"/>
      <w:marRight w:val="0"/>
      <w:marTop w:val="0"/>
      <w:marBottom w:val="0"/>
      <w:divBdr>
        <w:top w:val="none" w:sz="0" w:space="0" w:color="auto"/>
        <w:left w:val="none" w:sz="0" w:space="0" w:color="auto"/>
        <w:bottom w:val="none" w:sz="0" w:space="0" w:color="auto"/>
        <w:right w:val="none" w:sz="0" w:space="0" w:color="auto"/>
      </w:divBdr>
    </w:div>
    <w:div w:id="2088769478">
      <w:bodyDiv w:val="1"/>
      <w:marLeft w:val="0"/>
      <w:marRight w:val="0"/>
      <w:marTop w:val="0"/>
      <w:marBottom w:val="0"/>
      <w:divBdr>
        <w:top w:val="none" w:sz="0" w:space="0" w:color="auto"/>
        <w:left w:val="none" w:sz="0" w:space="0" w:color="auto"/>
        <w:bottom w:val="none" w:sz="0" w:space="0" w:color="auto"/>
        <w:right w:val="none" w:sz="0" w:space="0" w:color="auto"/>
      </w:divBdr>
    </w:div>
    <w:div w:id="2095541489">
      <w:bodyDiv w:val="1"/>
      <w:marLeft w:val="0"/>
      <w:marRight w:val="0"/>
      <w:marTop w:val="0"/>
      <w:marBottom w:val="0"/>
      <w:divBdr>
        <w:top w:val="none" w:sz="0" w:space="0" w:color="auto"/>
        <w:left w:val="none" w:sz="0" w:space="0" w:color="auto"/>
        <w:bottom w:val="none" w:sz="0" w:space="0" w:color="auto"/>
        <w:right w:val="none" w:sz="0" w:space="0" w:color="auto"/>
      </w:divBdr>
    </w:div>
    <w:div w:id="213367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0E9B3-0F23-4912-A557-4A8F3FFD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2557</Words>
  <Characters>14069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Banco de Credito BCP</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Katiuzka Apaza R. - Prima AFP</dc:creator>
  <cp:lastModifiedBy>Jaime Andres Rivas Lenti</cp:lastModifiedBy>
  <cp:revision>3</cp:revision>
  <cp:lastPrinted>2016-03-29T21:48:00Z</cp:lastPrinted>
  <dcterms:created xsi:type="dcterms:W3CDTF">2025-02-24T20:39:00Z</dcterms:created>
  <dcterms:modified xsi:type="dcterms:W3CDTF">2025-02-24T20:39:00Z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62edd53-3995-41c0-97a0-9ea8ae9a99d8_Enabled">
    <vt:lpwstr>true</vt:lpwstr>
  </property>
  <property fmtid="{D5CDD505-2E9C-101B-9397-08002B2CF9AE}" pid="3" name="MSIP_Label_f62edd53-3995-41c0-97a0-9ea8ae9a99d8_SetDate">
    <vt:lpwstr>2024-02-20T20:47:07Z</vt:lpwstr>
  </property>
  <property fmtid="{D5CDD505-2E9C-101B-9397-08002B2CF9AE}" pid="4" name="MSIP_Label_f62edd53-3995-41c0-97a0-9ea8ae9a99d8_Method">
    <vt:lpwstr>Standard</vt:lpwstr>
  </property>
  <property fmtid="{D5CDD505-2E9C-101B-9397-08002B2CF9AE}" pid="5" name="MSIP_Label_f62edd53-3995-41c0-97a0-9ea8ae9a99d8_Name">
    <vt:lpwstr>Uso Interno</vt:lpwstr>
  </property>
  <property fmtid="{D5CDD505-2E9C-101B-9397-08002B2CF9AE}" pid="6" name="MSIP_Label_f62edd53-3995-41c0-97a0-9ea8ae9a99d8_SiteId">
    <vt:lpwstr>4ce0a5ca-a79f-45a5-91a5-4f396a4cda65</vt:lpwstr>
  </property>
  <property fmtid="{D5CDD505-2E9C-101B-9397-08002B2CF9AE}" pid="7" name="MSIP_Label_f62edd53-3995-41c0-97a0-9ea8ae9a99d8_ActionId">
    <vt:lpwstr>c46f6325-ea3a-43d3-8631-ba427a9b29a0</vt:lpwstr>
  </property>
  <property fmtid="{D5CDD505-2E9C-101B-9397-08002B2CF9AE}" pid="8" name="MSIP_Label_f62edd53-3995-41c0-97a0-9ea8ae9a99d8_ContentBits">
    <vt:lpwstr>0</vt:lpwstr>
  </property>
</Properties>
</file>