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742A4" w14:textId="77777777" w:rsidR="009C7E9A" w:rsidRDefault="009C7E9A" w:rsidP="009C7E9A">
      <w:pPr>
        <w:ind w:right="-427"/>
        <w:rPr>
          <w:rFonts w:ascii="Arial" w:hAnsi="Arial" w:cs="Arial"/>
          <w:b/>
          <w:bCs/>
          <w:color w:val="002060"/>
        </w:rPr>
      </w:pPr>
      <w:r>
        <w:rPr>
          <w:rFonts w:ascii="Arial" w:hAnsi="Arial" w:cs="Arial"/>
          <w:b/>
          <w:bCs/>
          <w:color w:val="002060"/>
        </w:rPr>
        <w:t>SECCION A:</w:t>
      </w:r>
    </w:p>
    <w:p w14:paraId="02E4864B" w14:textId="77777777" w:rsidR="009C7E9A" w:rsidRDefault="009C7E9A" w:rsidP="009C7E9A">
      <w:pPr>
        <w:tabs>
          <w:tab w:val="left" w:leader="dot" w:pos="5954"/>
        </w:tabs>
        <w:spacing w:before="120"/>
        <w:ind w:right="-255"/>
        <w:jc w:val="center"/>
        <w:rPr>
          <w:rFonts w:ascii="Arial" w:hAnsi="Arial" w:cs="Arial"/>
          <w:b/>
          <w:bCs/>
          <w:color w:val="002060"/>
        </w:rPr>
      </w:pPr>
      <w:r>
        <w:rPr>
          <w:rFonts w:ascii="Arial" w:hAnsi="Arial" w:cs="Arial"/>
          <w:b/>
          <w:bCs/>
          <w:color w:val="002060"/>
        </w:rPr>
        <w:t>Carta de Presentación</w:t>
      </w:r>
      <w:r>
        <w:rPr>
          <w:rStyle w:val="Refdenotaalpie"/>
          <w:b/>
          <w:bCs/>
          <w:color w:val="002060"/>
        </w:rPr>
        <w:footnoteReference w:id="1"/>
      </w:r>
    </w:p>
    <w:p w14:paraId="14009044" w14:textId="77777777" w:rsidR="009C7E9A" w:rsidRDefault="009C7E9A" w:rsidP="009C7E9A">
      <w:pPr>
        <w:pStyle w:val="Default"/>
        <w:rPr>
          <w:sz w:val="23"/>
          <w:szCs w:val="23"/>
        </w:rPr>
      </w:pPr>
    </w:p>
    <w:p w14:paraId="74AB29D7" w14:textId="77777777" w:rsidR="009C7E9A" w:rsidRDefault="009C7E9A" w:rsidP="009C7E9A">
      <w:pPr>
        <w:pStyle w:val="Default"/>
        <w:jc w:val="both"/>
        <w:rPr>
          <w:color w:val="auto"/>
          <w:sz w:val="20"/>
          <w:szCs w:val="20"/>
        </w:rPr>
      </w:pPr>
      <w:r>
        <w:rPr>
          <w:color w:val="auto"/>
          <w:sz w:val="20"/>
          <w:szCs w:val="20"/>
        </w:rPr>
        <w:t>En Prima AFP nos encontramos comprometidos con la promoción e implementación de los más altos estándares de gobierno corporativo. Todos nuestros colaboradores están adheridos a los principios de integridad, respeto y transparencia, los cuales forman parte de nuestra cultura organizacional y fomentan la confianza de nuestros accionistas y grupos de interés. Nuestra visión, misión, código de ética y políticas internas recogen estos principios.</w:t>
      </w:r>
    </w:p>
    <w:p w14:paraId="6571033B" w14:textId="77777777" w:rsidR="009C7E9A" w:rsidRDefault="009C7E9A" w:rsidP="009C7E9A">
      <w:pPr>
        <w:pStyle w:val="Default"/>
        <w:jc w:val="both"/>
        <w:rPr>
          <w:color w:val="auto"/>
          <w:sz w:val="20"/>
          <w:szCs w:val="20"/>
        </w:rPr>
      </w:pPr>
    </w:p>
    <w:p w14:paraId="3B95DE74" w14:textId="77777777" w:rsidR="009C7E9A" w:rsidRDefault="009C7E9A" w:rsidP="009C7E9A">
      <w:pPr>
        <w:pStyle w:val="Default"/>
        <w:jc w:val="both"/>
        <w:rPr>
          <w:color w:val="auto"/>
          <w:sz w:val="20"/>
          <w:szCs w:val="20"/>
        </w:rPr>
      </w:pPr>
      <w:r>
        <w:rPr>
          <w:color w:val="auto"/>
          <w:sz w:val="20"/>
          <w:szCs w:val="20"/>
        </w:rPr>
        <w:t xml:space="preserve">Nuestras prácticas de gobierno corporativo han logrado construir una relación de confianza entre nuestros grupos de interés y nos han ayudado a obtener mayores ventajas competitivas, permitiéndonos alcanzar un mejor rendimiento, así como sentar las bases para un crecimiento sostenible y rentable, contribuyendo a crear mayor valor para nuestros accionistas. </w:t>
      </w:r>
    </w:p>
    <w:p w14:paraId="7F83D0D1" w14:textId="77777777" w:rsidR="009C7E9A" w:rsidRDefault="009C7E9A" w:rsidP="009C7E9A">
      <w:pPr>
        <w:pStyle w:val="Default"/>
        <w:jc w:val="both"/>
        <w:rPr>
          <w:color w:val="auto"/>
          <w:sz w:val="20"/>
          <w:szCs w:val="20"/>
        </w:rPr>
      </w:pPr>
    </w:p>
    <w:p w14:paraId="7EEEE978" w14:textId="77777777" w:rsidR="009C7E9A" w:rsidRPr="002A5C01" w:rsidRDefault="009C7E9A" w:rsidP="009C7E9A">
      <w:pPr>
        <w:pStyle w:val="Default"/>
        <w:jc w:val="both"/>
        <w:rPr>
          <w:color w:val="000000" w:themeColor="text1"/>
          <w:sz w:val="20"/>
          <w:szCs w:val="20"/>
        </w:rPr>
      </w:pPr>
      <w:r>
        <w:rPr>
          <w:color w:val="auto"/>
          <w:sz w:val="20"/>
          <w:szCs w:val="20"/>
        </w:rPr>
        <w:t xml:space="preserve">Dado que Prima AFP es uno de los principales inversionistas institucionales en el Perú mantenemos el compromiso de fomentar que las compañías que forman parte de nuestro portafolio adopten políticas y prácticas de inversiones responsables que contribuyan en mejorar el desempeño financiero corporativo de mediano y largo plazo. Por esta razón, desde el 2016 somos miembros del </w:t>
      </w:r>
      <w:r w:rsidRPr="002A5C01">
        <w:rPr>
          <w:color w:val="000000" w:themeColor="text1"/>
          <w:sz w:val="20"/>
          <w:szCs w:val="20"/>
        </w:rPr>
        <w:t xml:space="preserve">Programa de Inversión Responsable (PIR) y participamos activamente en los grupos de trabajo con el fin de promocionar la inversión responsable y sostenible en el Perú. </w:t>
      </w:r>
    </w:p>
    <w:p w14:paraId="2E7F9110" w14:textId="77777777" w:rsidR="009C7E9A" w:rsidRPr="002A5C01" w:rsidRDefault="009C7E9A" w:rsidP="009C7E9A">
      <w:pPr>
        <w:pStyle w:val="Default"/>
        <w:jc w:val="both"/>
        <w:rPr>
          <w:color w:val="000000" w:themeColor="text1"/>
          <w:sz w:val="20"/>
          <w:szCs w:val="20"/>
        </w:rPr>
      </w:pPr>
    </w:p>
    <w:p w14:paraId="6EECDF03"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 xml:space="preserve">Asimismo, desde inicios del 2019, Prima AFP se convirtió en signatario del </w:t>
      </w:r>
      <w:proofErr w:type="spellStart"/>
      <w:r w:rsidRPr="002A5C01">
        <w:rPr>
          <w:rFonts w:ascii="Arial" w:hAnsi="Arial" w:cs="Arial"/>
          <w:color w:val="000000" w:themeColor="text1"/>
          <w:sz w:val="20"/>
          <w:szCs w:val="20"/>
        </w:rPr>
        <w:t>Principles</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of</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Responsible</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Investments</w:t>
      </w:r>
      <w:proofErr w:type="spellEnd"/>
      <w:r w:rsidRPr="002A5C01">
        <w:rPr>
          <w:rFonts w:ascii="Arial" w:hAnsi="Arial" w:cs="Arial"/>
          <w:color w:val="000000" w:themeColor="text1"/>
          <w:sz w:val="20"/>
          <w:szCs w:val="20"/>
        </w:rPr>
        <w:t xml:space="preserve"> (PRI), organización global líder de las inversiones responsables, cuya finalidad es impulsar a los inversionistas institucionales globales a integrar en sus procesos de inversión los factores Ambientales, Sociales y de Gobierno Corporativo. </w:t>
      </w:r>
    </w:p>
    <w:p w14:paraId="10346BE1"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Como parte de la estrategia de Inversiones Responsables, Prima AFP mantiene un rol activo en el que promueve las buenas prácticas en temas de Gobierno Corporativo, entre otros, a través de la votación en juntas y el relacionamiento. Consideramos que el rol activo agrega valor al desempeño financiero de largo plazo y va en línea con el objetivo de maximizar el retorno ajustado por riesgo.</w:t>
      </w:r>
    </w:p>
    <w:p w14:paraId="496DA269" w14:textId="77777777" w:rsidR="002E2604" w:rsidRDefault="002E2604" w:rsidP="002E2604"/>
    <w:p w14:paraId="0DFC70A9" w14:textId="77777777" w:rsidR="002E2604" w:rsidRDefault="002E2604" w:rsidP="002E2604"/>
    <w:p w14:paraId="287AC70E" w14:textId="77777777" w:rsidR="002E2604" w:rsidRDefault="002E2604" w:rsidP="002E2604"/>
    <w:p w14:paraId="09333EC1" w14:textId="375E9D8C" w:rsidR="002E2604" w:rsidRDefault="002E2604" w:rsidP="002E2604"/>
    <w:p w14:paraId="43CEC3C6" w14:textId="6E395A72" w:rsidR="00C462DD" w:rsidRDefault="00C462DD" w:rsidP="002E2604"/>
    <w:p w14:paraId="294FA740" w14:textId="6FD00203" w:rsidR="00C462DD" w:rsidRDefault="00C462DD" w:rsidP="002E2604"/>
    <w:p w14:paraId="19EA1D09" w14:textId="4568A422" w:rsidR="00C462DD" w:rsidRDefault="00C462DD" w:rsidP="002E2604"/>
    <w:p w14:paraId="75A1B1C0" w14:textId="77777777" w:rsidR="002E2604" w:rsidRDefault="002E2604" w:rsidP="002E2604"/>
    <w:p w14:paraId="572D0B75" w14:textId="77777777" w:rsidR="00F15477" w:rsidRDefault="00F15477" w:rsidP="00F15477">
      <w:pPr>
        <w:tabs>
          <w:tab w:val="left" w:leader="dot" w:pos="5954"/>
        </w:tabs>
        <w:rPr>
          <w:rFonts w:ascii="Arial" w:hAnsi="Arial" w:cs="Arial"/>
          <w:b/>
          <w:bCs/>
          <w:color w:val="002060"/>
        </w:rPr>
      </w:pPr>
      <w:r>
        <w:rPr>
          <w:rFonts w:ascii="Arial" w:hAnsi="Arial" w:cs="Arial"/>
          <w:b/>
          <w:bCs/>
          <w:color w:val="002060"/>
        </w:rPr>
        <w:lastRenderedPageBreak/>
        <w:t>SECCIÓN D:</w:t>
      </w:r>
    </w:p>
    <w:p w14:paraId="2C61F16C" w14:textId="714413F4" w:rsidR="004A66CB" w:rsidRPr="00317098" w:rsidRDefault="00F15477" w:rsidP="00317098">
      <w:pPr>
        <w:tabs>
          <w:tab w:val="left" w:leader="dot" w:pos="5954"/>
        </w:tabs>
        <w:spacing w:before="120"/>
        <w:jc w:val="center"/>
        <w:rPr>
          <w:rFonts w:ascii="Arial" w:hAnsi="Arial" w:cs="Arial"/>
          <w:b/>
          <w:bCs/>
          <w:color w:val="002060"/>
        </w:rPr>
      </w:pPr>
      <w:r>
        <w:rPr>
          <w:rFonts w:ascii="Arial" w:hAnsi="Arial" w:cs="Arial"/>
          <w:b/>
          <w:bCs/>
          <w:color w:val="002060"/>
        </w:rPr>
        <w:t xml:space="preserve">Otra información de interés </w:t>
      </w:r>
      <w:r>
        <w:rPr>
          <w:rStyle w:val="Refdenotaalpie"/>
          <w:rFonts w:ascii="Arial" w:hAnsi="Arial" w:cs="Arial"/>
          <w:b/>
          <w:bCs/>
          <w:color w:val="002060"/>
        </w:rPr>
        <w:footnoteReference w:id="2"/>
      </w:r>
    </w:p>
    <w:p w14:paraId="14C5CAA7" w14:textId="45CA725C" w:rsidR="00AE5EB5" w:rsidRDefault="00AE5EB5"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254"/>
        <w:gridCol w:w="406"/>
        <w:gridCol w:w="639"/>
        <w:gridCol w:w="290"/>
        <w:gridCol w:w="196"/>
      </w:tblGrid>
      <w:tr w:rsidR="00350879" w:rsidRPr="00350879" w14:paraId="505D2E25" w14:textId="77777777" w:rsidTr="00350879">
        <w:trPr>
          <w:trHeight w:val="250"/>
        </w:trPr>
        <w:tc>
          <w:tcPr>
            <w:tcW w:w="196" w:type="dxa"/>
            <w:tcBorders>
              <w:top w:val="nil"/>
              <w:left w:val="nil"/>
              <w:bottom w:val="nil"/>
              <w:right w:val="nil"/>
            </w:tcBorders>
            <w:shd w:val="clear" w:color="000000" w:fill="FFFFFF"/>
            <w:vAlign w:val="center"/>
            <w:hideMark/>
          </w:tcPr>
          <w:p w14:paraId="5DB3690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6D0B930" w14:textId="13189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Pr>
                <w:rFonts w:ascii="Arial" w:eastAsia="Times New Roman" w:hAnsi="Arial" w:cs="Arial"/>
                <w:color w:val="000000"/>
                <w:sz w:val="20"/>
                <w:szCs w:val="20"/>
                <w:lang w:eastAsia="es-PE"/>
              </w:rPr>
              <w:t>5</w:t>
            </w:r>
          </w:p>
        </w:tc>
      </w:tr>
      <w:tr w:rsidR="00350879" w:rsidRPr="00350879" w14:paraId="51A6C25D" w14:textId="77777777" w:rsidTr="00350879">
        <w:trPr>
          <w:trHeight w:val="250"/>
        </w:trPr>
        <w:tc>
          <w:tcPr>
            <w:tcW w:w="196" w:type="dxa"/>
            <w:tcBorders>
              <w:top w:val="nil"/>
              <w:left w:val="nil"/>
              <w:bottom w:val="nil"/>
              <w:right w:val="nil"/>
            </w:tcBorders>
            <w:shd w:val="clear" w:color="000000" w:fill="FFFFFF"/>
            <w:noWrap/>
            <w:vAlign w:val="bottom"/>
            <w:hideMark/>
          </w:tcPr>
          <w:p w14:paraId="21C014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9561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729823EA" w14:textId="20EC58A1" w:rsidR="00350879" w:rsidRPr="00350879" w:rsidRDefault="00350879" w:rsidP="00350879">
            <w:pPr>
              <w:spacing w:after="0" w:line="240" w:lineRule="auto"/>
              <w:rPr>
                <w:rFonts w:ascii="Calibri" w:eastAsia="Times New Roman" w:hAnsi="Calibri" w:cs="Calibri"/>
                <w:color w:val="000000"/>
                <w:sz w:val="16"/>
                <w:szCs w:val="16"/>
                <w:lang w:eastAsia="es-PE"/>
              </w:rPr>
            </w:pPr>
            <w:r w:rsidRPr="001D3F06">
              <w:rPr>
                <w:rFonts w:ascii="Calibri" w:eastAsia="Times New Roman" w:hAnsi="Calibri" w:cs="Calibri"/>
                <w:sz w:val="16"/>
                <w:szCs w:val="16"/>
                <w:lang w:eastAsia="es-PE"/>
              </w:rPr>
              <w:t xml:space="preserve">Comité de </w:t>
            </w:r>
            <w:proofErr w:type="gramStart"/>
            <w:r w:rsidRPr="001D3F06">
              <w:rPr>
                <w:rFonts w:ascii="Calibri" w:eastAsia="Times New Roman" w:hAnsi="Calibri" w:cs="Calibri"/>
                <w:sz w:val="16"/>
                <w:szCs w:val="16"/>
                <w:lang w:eastAsia="es-PE"/>
              </w:rPr>
              <w:t>Riesgos  -</w:t>
            </w:r>
            <w:proofErr w:type="gramEnd"/>
            <w:r w:rsidRPr="001D3F06">
              <w:rPr>
                <w:rFonts w:ascii="Calibri" w:eastAsia="Times New Roman" w:hAnsi="Calibri" w:cs="Calibri"/>
                <w:sz w:val="16"/>
                <w:szCs w:val="16"/>
                <w:lang w:eastAsia="es-PE"/>
              </w:rPr>
              <w:t xml:space="preserve"> Prima AFP</w:t>
            </w:r>
          </w:p>
        </w:tc>
      </w:tr>
      <w:tr w:rsidR="00350879" w:rsidRPr="00350879" w14:paraId="14162E35" w14:textId="77777777" w:rsidTr="00350879">
        <w:trPr>
          <w:trHeight w:val="250"/>
        </w:trPr>
        <w:tc>
          <w:tcPr>
            <w:tcW w:w="196" w:type="dxa"/>
            <w:tcBorders>
              <w:top w:val="nil"/>
              <w:left w:val="nil"/>
              <w:bottom w:val="nil"/>
              <w:right w:val="nil"/>
            </w:tcBorders>
            <w:shd w:val="clear" w:color="000000" w:fill="FFFFFF"/>
            <w:noWrap/>
            <w:vAlign w:val="bottom"/>
            <w:hideMark/>
          </w:tcPr>
          <w:p w14:paraId="057B5B7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039A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34614EBB" w14:textId="03880FEB" w:rsidR="00350879" w:rsidRPr="00350879" w:rsidRDefault="00350879" w:rsidP="00350879">
            <w:pPr>
              <w:spacing w:after="0" w:line="240" w:lineRule="auto"/>
              <w:rPr>
                <w:rFonts w:ascii="Calibri" w:eastAsia="Times New Roman" w:hAnsi="Calibri" w:cs="Calibri"/>
                <w:color w:val="000000"/>
                <w:sz w:val="16"/>
                <w:szCs w:val="16"/>
                <w:lang w:eastAsia="es-PE"/>
              </w:rPr>
            </w:pPr>
            <w:r>
              <w:rPr>
                <w:rFonts w:ascii="Calibri" w:eastAsia="Times New Roman" w:hAnsi="Calibri" w:cs="Calibri"/>
                <w:color w:val="000000"/>
                <w:sz w:val="16"/>
                <w:szCs w:val="16"/>
                <w:lang w:eastAsia="es-PE"/>
              </w:rPr>
              <w:t>0</w:t>
            </w:r>
            <w:r w:rsidRPr="001D3F06">
              <w:rPr>
                <w:rFonts w:ascii="Calibri" w:eastAsia="Times New Roman" w:hAnsi="Calibri" w:cs="Calibri"/>
                <w:color w:val="000000"/>
                <w:sz w:val="16"/>
                <w:szCs w:val="16"/>
                <w:lang w:eastAsia="es-PE"/>
              </w:rPr>
              <w:t>8/04/2005</w:t>
            </w:r>
          </w:p>
        </w:tc>
      </w:tr>
      <w:tr w:rsidR="00350879" w:rsidRPr="00350879" w14:paraId="0463E728" w14:textId="77777777" w:rsidTr="00317098">
        <w:trPr>
          <w:trHeight w:val="416"/>
        </w:trPr>
        <w:tc>
          <w:tcPr>
            <w:tcW w:w="196" w:type="dxa"/>
            <w:tcBorders>
              <w:top w:val="nil"/>
              <w:left w:val="nil"/>
              <w:bottom w:val="nil"/>
              <w:right w:val="nil"/>
            </w:tcBorders>
            <w:shd w:val="clear" w:color="000000" w:fill="FFFFFF"/>
            <w:noWrap/>
            <w:vAlign w:val="bottom"/>
            <w:hideMark/>
          </w:tcPr>
          <w:p w14:paraId="31F76BA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A2C60"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tcPr>
          <w:p w14:paraId="29B16CD8"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 xml:space="preserve">-Presentar la propuesta de los objetivos, estrategias, políticas, procedimientos y acciones de la gestión integral de riesgos para aprobación del Directorio y opinar sobre las modificaciones que se realicen, en caso de contar con la delegación expresa del Directorio, el Comité puede aprobar tales propuestas, acciones y/o modificaciones. </w:t>
            </w:r>
          </w:p>
          <w:p w14:paraId="16A95AC3"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-Supervisar la implementación de los objetivos, políticas y procedimientos de las inversiones de las Carteras Administradas aprobados por el Directorio. Dicha supervisión debe quedar documentada.</w:t>
            </w:r>
          </w:p>
          <w:p w14:paraId="7A0B9878"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 xml:space="preserve">-Aprobar junto con el Comité de Inversiones y elevar para aprobación final del Directorio los indicadores de referencia para la gestión de las Carteras Administradas. </w:t>
            </w:r>
          </w:p>
          <w:p w14:paraId="29E52530"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-Aprobar y elevar para aprobación del Directorio, la declaración de apetito al riesgo.</w:t>
            </w:r>
          </w:p>
          <w:p w14:paraId="56D06400"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-Recomendar al Directorio los niveles de tolerancia y apetito de riesgo, en función al objetivo de inversión de cada tipo de fondo, el horizonte de inversión, requerimientos regulatorios, acceso al mercado de capitales, infraestructura y recursos suficientes, idoneidad y capacidad de los funcionarios responsables de la administración de los riesgos de inversión.</w:t>
            </w:r>
          </w:p>
          <w:p w14:paraId="13992B5F" w14:textId="5F9817E9"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w:t>
            </w:r>
            <w:r w:rsidR="009E1754" w:rsidRPr="00577D61">
              <w:rPr>
                <w:rFonts w:ascii="Calibri" w:eastAsia="Times New Roman" w:hAnsi="Calibri" w:cs="Calibri"/>
                <w:color w:val="000000" w:themeColor="text1"/>
                <w:sz w:val="16"/>
                <w:szCs w:val="16"/>
                <w:lang w:eastAsia="es-PE"/>
              </w:rPr>
              <w:t>Aprobar y pr</w:t>
            </w:r>
            <w:r w:rsidRPr="00577D61">
              <w:rPr>
                <w:rFonts w:ascii="Calibri" w:eastAsia="Times New Roman" w:hAnsi="Calibri" w:cs="Calibri"/>
                <w:color w:val="000000" w:themeColor="text1"/>
                <w:sz w:val="16"/>
                <w:szCs w:val="16"/>
                <w:lang w:eastAsia="es-PE"/>
              </w:rPr>
              <w:t xml:space="preserve">oponer al Directorio las métricas de presupuesto y apetito al Riesgo, así como otros limites internos </w:t>
            </w:r>
            <w:r w:rsidRPr="001D3F06">
              <w:rPr>
                <w:rFonts w:ascii="Calibri" w:eastAsia="Times New Roman" w:hAnsi="Calibri" w:cs="Calibri"/>
                <w:color w:val="000000"/>
                <w:sz w:val="16"/>
                <w:szCs w:val="16"/>
                <w:lang w:eastAsia="es-PE"/>
              </w:rPr>
              <w:t>de exposición a los riesgos de inversión de manera global y por tipo de riesgo, debiendo ser revisados al menos con una periodicidad anual.</w:t>
            </w:r>
          </w:p>
          <w:p w14:paraId="7621870B"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-Proponer al Directorio bandas de riesgos (</w:t>
            </w:r>
            <w:proofErr w:type="spellStart"/>
            <w:r w:rsidRPr="001D3F06">
              <w:rPr>
                <w:rFonts w:ascii="Calibri" w:eastAsia="Times New Roman" w:hAnsi="Calibri" w:cs="Calibri"/>
                <w:color w:val="000000"/>
                <w:sz w:val="16"/>
                <w:szCs w:val="16"/>
                <w:lang w:eastAsia="es-PE"/>
              </w:rPr>
              <w:t>tripwires</w:t>
            </w:r>
            <w:proofErr w:type="spellEnd"/>
            <w:r w:rsidRPr="001D3F06">
              <w:rPr>
                <w:rFonts w:ascii="Calibri" w:eastAsia="Times New Roman" w:hAnsi="Calibri" w:cs="Calibri"/>
                <w:color w:val="000000"/>
                <w:sz w:val="16"/>
                <w:szCs w:val="16"/>
                <w:lang w:eastAsia="es-PE"/>
              </w:rPr>
              <w:t xml:space="preserve">) o niveles de alerta temprana para evitar incurrir directamente en excesos a limites internos o regulatorios, con el fin de controlar los riesgos de inversión. </w:t>
            </w:r>
          </w:p>
          <w:p w14:paraId="7F469F49"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-Revisar en forma mensual los indicadores de presupuesto y apetito al riesgo.</w:t>
            </w:r>
          </w:p>
          <w:p w14:paraId="5359C21B"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 xml:space="preserve">-Velar por el cumplimiento de los límites de inversión internos y regulatorios. En caso se exceda estos límites, informar inmediatamente al Directorio de la AFP y al Comité de Inversiones. </w:t>
            </w:r>
          </w:p>
          <w:p w14:paraId="35787920"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-Revisar y aprobar el plan de acción propuesto por el Gerente de la división de Inversiones y el Gerente de la división de Riesgos, en caso se presente un exceso en el presupuesto o apetito al riesgo en el nivel de alerta del ámbito de su gestión.</w:t>
            </w:r>
          </w:p>
          <w:p w14:paraId="69CB8901"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-Aprobar el procedimiento para autorizar los excesos temporales a los limites internos establecidos para los distintos tipos de riesgos de inversión, y realizar los ajustes necesarios cuando las condiciones y el entorno así lo requieran, informando al Directorio oportunamente sobre el ejercicio de las referidas facultades y de las medidas correctivas implementadas.</w:t>
            </w:r>
          </w:p>
          <w:p w14:paraId="4053D709"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-Revisar y aprobar mandatos y lineamientos en la gestión de inversiones, así como cualquier modificación a las Políticas de Inversiones de cada una de las carteras administradas por la AFP, y los manuales y/o procedimientos y guías operativas a los que se hacen referencia en dichas Políticas.</w:t>
            </w:r>
          </w:p>
          <w:p w14:paraId="6B6D4EC8"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-Tomar conocimiento de la filosofía de inversión de las carteras administradas.</w:t>
            </w:r>
          </w:p>
          <w:p w14:paraId="5B7438AE"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 xml:space="preserve">-Aprobar y revisar por lo menos anualmente las metodologías, parámetros, modelos y escenarios de estrés a ser utilizados para identificar, medir, analizar, monitorear, limitar, controlar, informar y revelar los riesgos de inversión a las que estén expuestas las carteras administradas; así como comprender y establecer las limitaciones y la incertidumbre relacionada a los resultados de los modelos y el riesgo inherente en su utilización. </w:t>
            </w:r>
          </w:p>
          <w:p w14:paraId="14AF45F4"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-Aprobar los estándares y/o procedimientos para el monitoreo diario de los riesgos de inversión a los que se encuentran expuestas los recursos de las carteras administradas, en función a la naturaleza y complejidad de los instrumentos u operaciones de inversión.</w:t>
            </w:r>
          </w:p>
          <w:p w14:paraId="231B53D8" w14:textId="119ACE08" w:rsidR="00350879" w:rsidRPr="00577D61" w:rsidRDefault="00350879" w:rsidP="00350879">
            <w:pPr>
              <w:spacing w:after="0" w:line="240" w:lineRule="auto"/>
              <w:jc w:val="both"/>
              <w:rPr>
                <w:rFonts w:ascii="Calibri" w:eastAsia="Times New Roman" w:hAnsi="Calibri" w:cs="Calibri"/>
                <w:color w:val="000000" w:themeColor="text1"/>
                <w:sz w:val="16"/>
                <w:szCs w:val="16"/>
                <w:lang w:eastAsia="es-PE"/>
              </w:rPr>
            </w:pPr>
            <w:r w:rsidRPr="001D3F06">
              <w:rPr>
                <w:rFonts w:ascii="Calibri" w:eastAsia="Times New Roman" w:hAnsi="Calibri" w:cs="Calibri"/>
                <w:color w:val="000000"/>
                <w:sz w:val="16"/>
                <w:szCs w:val="16"/>
                <w:lang w:eastAsia="es-PE"/>
              </w:rPr>
              <w:t xml:space="preserve">-Aprobar o delegar a otros comités especializados la aprobación de los nuevos mercados, monedas, agentes intermediarios de operaciones de préstamos valores y operaciones de reporte, </w:t>
            </w:r>
            <w:proofErr w:type="spellStart"/>
            <w:r w:rsidRPr="001D3F06">
              <w:rPr>
                <w:rFonts w:ascii="Calibri" w:eastAsia="Times New Roman" w:hAnsi="Calibri" w:cs="Calibri"/>
                <w:color w:val="000000"/>
                <w:sz w:val="16"/>
                <w:szCs w:val="16"/>
                <w:lang w:eastAsia="es-PE"/>
              </w:rPr>
              <w:t>clearer</w:t>
            </w:r>
            <w:proofErr w:type="spellEnd"/>
            <w:r w:rsidRPr="001D3F06">
              <w:rPr>
                <w:rFonts w:ascii="Calibri" w:eastAsia="Times New Roman" w:hAnsi="Calibri" w:cs="Calibri"/>
                <w:color w:val="000000"/>
                <w:sz w:val="16"/>
                <w:szCs w:val="16"/>
                <w:lang w:eastAsia="es-PE"/>
              </w:rPr>
              <w:t xml:space="preserve"> </w:t>
            </w:r>
            <w:proofErr w:type="spellStart"/>
            <w:r w:rsidRPr="001D3F06">
              <w:rPr>
                <w:rFonts w:ascii="Calibri" w:eastAsia="Times New Roman" w:hAnsi="Calibri" w:cs="Calibri"/>
                <w:color w:val="000000"/>
                <w:sz w:val="16"/>
                <w:szCs w:val="16"/>
                <w:lang w:eastAsia="es-PE"/>
              </w:rPr>
              <w:t>brokers</w:t>
            </w:r>
            <w:proofErr w:type="spellEnd"/>
            <w:r w:rsidRPr="001D3F06">
              <w:rPr>
                <w:rFonts w:ascii="Calibri" w:eastAsia="Times New Roman" w:hAnsi="Calibri" w:cs="Calibri"/>
                <w:color w:val="000000"/>
                <w:sz w:val="16"/>
                <w:szCs w:val="16"/>
                <w:lang w:eastAsia="es-PE"/>
              </w:rPr>
              <w:t xml:space="preserve"> y contrapart</w:t>
            </w:r>
            <w:r w:rsidRPr="00261450">
              <w:rPr>
                <w:rFonts w:ascii="Calibri" w:eastAsia="Times New Roman" w:hAnsi="Calibri" w:cs="Calibri"/>
                <w:color w:val="000000"/>
                <w:sz w:val="16"/>
                <w:szCs w:val="16"/>
                <w:lang w:eastAsia="es-PE"/>
              </w:rPr>
              <w:t>es</w:t>
            </w:r>
            <w:r w:rsidR="00261450" w:rsidRPr="00261450">
              <w:rPr>
                <w:rFonts w:ascii="Calibri" w:eastAsia="Times New Roman" w:hAnsi="Calibri" w:cs="Calibri"/>
                <w:color w:val="000000"/>
                <w:sz w:val="16"/>
                <w:szCs w:val="16"/>
                <w:lang w:eastAsia="es-PE"/>
              </w:rPr>
              <w:t xml:space="preserve">, </w:t>
            </w:r>
            <w:r w:rsidR="00261450" w:rsidRPr="00577D61">
              <w:rPr>
                <w:rFonts w:ascii="Calibri" w:eastAsia="Times New Roman" w:hAnsi="Calibri" w:cs="Calibri"/>
                <w:color w:val="000000" w:themeColor="text1"/>
                <w:sz w:val="16"/>
                <w:szCs w:val="16"/>
                <w:lang w:eastAsia="es-PE"/>
              </w:rPr>
              <w:t xml:space="preserve">intermediarios de negociación que realizan o no labores </w:t>
            </w:r>
            <w:r w:rsidR="00261450" w:rsidRPr="00577D61">
              <w:rPr>
                <w:rFonts w:ascii="Calibri" w:eastAsia="Times New Roman" w:hAnsi="Calibri" w:cs="Calibri"/>
                <w:color w:val="000000" w:themeColor="text1"/>
                <w:sz w:val="16"/>
                <w:szCs w:val="16"/>
                <w:lang w:eastAsia="es-PE"/>
              </w:rPr>
              <w:lastRenderedPageBreak/>
              <w:t>de formadores de mercado,</w:t>
            </w:r>
            <w:r w:rsidRPr="00577D61">
              <w:rPr>
                <w:rFonts w:ascii="Calibri" w:eastAsia="Times New Roman" w:hAnsi="Calibri" w:cs="Calibri"/>
                <w:color w:val="000000" w:themeColor="text1"/>
                <w:sz w:val="16"/>
                <w:szCs w:val="16"/>
                <w:lang w:eastAsia="es-PE"/>
              </w:rPr>
              <w:t xml:space="preserve"> emisores, entidades de custodia, mecanismos de negociación electrónica, gestores de fondos mutuos, entre otros.</w:t>
            </w:r>
          </w:p>
          <w:p w14:paraId="6A6C53C4" w14:textId="62430EBB" w:rsidR="00350879" w:rsidRPr="00577D61" w:rsidRDefault="00350879" w:rsidP="00350879">
            <w:pPr>
              <w:spacing w:after="0" w:line="240" w:lineRule="auto"/>
              <w:jc w:val="both"/>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-Aprobar los instrumentos u operaciones de inversión según los procedimientos </w:t>
            </w:r>
            <w:proofErr w:type="gramStart"/>
            <w:r w:rsidRPr="00577D61">
              <w:rPr>
                <w:rFonts w:ascii="Calibri" w:eastAsia="Times New Roman" w:hAnsi="Calibri" w:cs="Calibri"/>
                <w:color w:val="000000" w:themeColor="text1"/>
                <w:sz w:val="16"/>
                <w:szCs w:val="16"/>
                <w:lang w:eastAsia="es-PE"/>
              </w:rPr>
              <w:t>establecidos</w:t>
            </w:r>
            <w:r w:rsidR="00652B65" w:rsidRPr="00577D61">
              <w:rPr>
                <w:rFonts w:ascii="Calibri" w:eastAsia="Times New Roman" w:hAnsi="Calibri" w:cs="Calibri"/>
                <w:color w:val="000000" w:themeColor="text1"/>
                <w:sz w:val="16"/>
                <w:szCs w:val="16"/>
                <w:lang w:eastAsia="es-PE"/>
              </w:rPr>
              <w:t xml:space="preserve"> ,</w:t>
            </w:r>
            <w:proofErr w:type="gramEnd"/>
            <w:r w:rsidR="00652B65" w:rsidRPr="00577D61">
              <w:rPr>
                <w:rFonts w:ascii="Calibri" w:eastAsia="Times New Roman" w:hAnsi="Calibri" w:cs="Calibri"/>
                <w:color w:val="000000" w:themeColor="text1"/>
                <w:sz w:val="16"/>
                <w:szCs w:val="16"/>
                <w:lang w:eastAsia="es-PE"/>
              </w:rPr>
              <w:t xml:space="preserve"> y supervisar el resultado del monitoreo de la negociación de instrumentos u operaciones de inversión de las carteras administradas</w:t>
            </w:r>
            <w:r w:rsidRPr="00577D61">
              <w:rPr>
                <w:rFonts w:ascii="Calibri" w:eastAsia="Times New Roman" w:hAnsi="Calibri" w:cs="Calibri"/>
                <w:color w:val="000000" w:themeColor="text1"/>
                <w:sz w:val="16"/>
                <w:szCs w:val="16"/>
                <w:lang w:eastAsia="es-PE"/>
              </w:rPr>
              <w:t>.</w:t>
            </w:r>
          </w:p>
          <w:p w14:paraId="58D67F49"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-Realizar el seguimiento a las recomendaciones realizadas por Riesgo de Inversión al Gerente General y al Comité de Inversiones, con la finalidad de reducir la exposición a los riesgos de inversión.</w:t>
            </w:r>
          </w:p>
          <w:p w14:paraId="37DE01BD"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-Vigilar y monitorear el cumplimiento de las políticas, procedimientos, criterios, manuales metodológicos referidos a los criterios de valorización de los diferentes instrumentos u operaciones de inversión; de tal forma que se puedan realizar las impugnaciones en los casos que resulte aplicable.</w:t>
            </w:r>
          </w:p>
          <w:p w14:paraId="5AF590EA"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-Monitorear la efectividad de las funciones de la gestión de los riesgos de inversión a lo largo de las áreas vinculadas al proceso de inversiones de las carteras administradas.</w:t>
            </w:r>
          </w:p>
          <w:p w14:paraId="19C5585F"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-Informar mensualmente al Directorio sobre las medidas correctivas implementadas en el marco de la gestión de los riesgos de inversión, considerando el resultado de las auditorias y las evaluaciones realizadas. Asimismo, debe informar, al Directorio y al Comité de Inversiones, el nivel de exposición al riesgo de las Carteras Administradas, el análisis de riesgo realizado y los posibles efectos negativos asociados, por lo menos mensualmente.</w:t>
            </w:r>
          </w:p>
          <w:p w14:paraId="42DBF58D"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-Proponer al Directorio, en conjunto con el Dpto. de Cumplimiento, mejoras a la política sobre conflictos de interés relacionadas a la gestión de riesgos de inversión.</w:t>
            </w:r>
          </w:p>
          <w:p w14:paraId="0B67EF2D"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-Aprobar los reportes de monitoreo de los riesgos de inversión.</w:t>
            </w:r>
          </w:p>
          <w:p w14:paraId="2D4F59BB"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-Aprobar los planes de contingencia y revisarlos al menos con periodicidad anual.</w:t>
            </w:r>
          </w:p>
          <w:p w14:paraId="5832203E"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-Delegar autoridad o establecer autonomías para la toma de riesgos y aprobar operaciones de inversión que superen las facultades delegadas a niveles inferiores.</w:t>
            </w:r>
          </w:p>
          <w:p w14:paraId="160BC50A"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-Establecer e implementar políticas y procedimientos necesarios para administrar adecuada y prudentemente los riesgos vinculados a la tecnología de la información relacionados con el proceso de inversión.</w:t>
            </w:r>
          </w:p>
          <w:p w14:paraId="5C92D44B"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-Proponer mejoras en la Gestión Integral de Riesgos.</w:t>
            </w:r>
          </w:p>
          <w:p w14:paraId="07E71BEA" w14:textId="77777777" w:rsidR="00350879" w:rsidRPr="001D3F06"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-Revisar en forma anual el marco por apetito al riesgo de la Administradora para su ratificación en el Comité de Riesgos Credicorp y aprobación del Directorio.</w:t>
            </w:r>
          </w:p>
          <w:p w14:paraId="48268B3E" w14:textId="77777777" w:rsidR="00350879" w:rsidRDefault="00350879" w:rsidP="00350879">
            <w:pPr>
              <w:spacing w:after="0" w:line="240" w:lineRule="auto"/>
              <w:jc w:val="both"/>
              <w:rPr>
                <w:rFonts w:ascii="Calibri" w:eastAsia="Times New Roman" w:hAnsi="Calibri" w:cs="Calibri"/>
                <w:color w:val="000000"/>
                <w:sz w:val="16"/>
                <w:szCs w:val="16"/>
                <w:lang w:eastAsia="es-PE"/>
              </w:rPr>
            </w:pPr>
            <w:r w:rsidRPr="001D3F06">
              <w:rPr>
                <w:rFonts w:ascii="Calibri" w:eastAsia="Times New Roman" w:hAnsi="Calibri" w:cs="Calibri"/>
                <w:color w:val="000000"/>
                <w:sz w:val="16"/>
                <w:szCs w:val="16"/>
                <w:lang w:eastAsia="es-PE"/>
              </w:rPr>
              <w:t xml:space="preserve">-Revisar en forma mensual el estatus de los indicadores de apetito al riesgo de la Administradora (tablero de control). En caso de desviaciones, evaluar, otorgar dispensa a los excesos y/o aprobar las acciones para implementar las medidas correctivas pertinentes, </w:t>
            </w:r>
            <w:proofErr w:type="gramStart"/>
            <w:r w:rsidRPr="001D3F06">
              <w:rPr>
                <w:rFonts w:ascii="Calibri" w:eastAsia="Times New Roman" w:hAnsi="Calibri" w:cs="Calibri"/>
                <w:color w:val="000000"/>
                <w:sz w:val="16"/>
                <w:szCs w:val="16"/>
                <w:lang w:eastAsia="es-PE"/>
              </w:rPr>
              <w:t>de acuerdo a</w:t>
            </w:r>
            <w:proofErr w:type="gramEnd"/>
            <w:r w:rsidRPr="001D3F06">
              <w:rPr>
                <w:rFonts w:ascii="Calibri" w:eastAsia="Times New Roman" w:hAnsi="Calibri" w:cs="Calibri"/>
                <w:color w:val="000000"/>
                <w:sz w:val="16"/>
                <w:szCs w:val="16"/>
                <w:lang w:eastAsia="es-PE"/>
              </w:rPr>
              <w:t xml:space="preserve"> las autonomías que le corresponden (proceso de gestión de incumplimientos).</w:t>
            </w:r>
          </w:p>
          <w:p w14:paraId="09B89BF3"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-Revisar de forma mensual los planes y avances de la gestión de riesgo de operación, continuidad de negocio, prevención de fraude, ciberseguridad y seguridad de la información.</w:t>
            </w:r>
          </w:p>
          <w:p w14:paraId="0A436544"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 Aprobar la propuesta realizada por la División de Riesgos de metodologías y herramientas de medición de la atribución de rendimiento y riesgo en términos absolutos y relativos e indicadores de gestión de las carteras administradas, las cuales deben presentar la desagregación por categoría de instrumento y/o factor de riesgo.</w:t>
            </w:r>
          </w:p>
          <w:p w14:paraId="569086B7"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-Aprobar la propuesta realiza por la División de Riesgos de los límites internos de exposición al riesgo, medidas preventivas y alertas que permitan monitorear la exposición a los diferentes tipos de riesgos de inversión, así como los responsables de dicho monitoreo. Aprobar la propuesta de planes de acción de ocurrir una exposición que exceda tales límites. Entre dichos límites se considera al menos los siguientes:</w:t>
            </w:r>
          </w:p>
          <w:p w14:paraId="018D1059"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 xml:space="preserve">Riesgo de mercado: tracking error </w:t>
            </w:r>
            <w:proofErr w:type="gramStart"/>
            <w:r w:rsidRPr="00EB1794">
              <w:rPr>
                <w:rFonts w:ascii="Calibri" w:eastAsia="Times New Roman" w:hAnsi="Calibri" w:cs="Calibri"/>
                <w:color w:val="000000" w:themeColor="text1"/>
                <w:sz w:val="16"/>
                <w:szCs w:val="16"/>
                <w:lang w:eastAsia="es-PE"/>
              </w:rPr>
              <w:t>en relación al</w:t>
            </w:r>
            <w:proofErr w:type="gramEnd"/>
            <w:r w:rsidRPr="00EB1794">
              <w:rPr>
                <w:rFonts w:ascii="Calibri" w:eastAsia="Times New Roman" w:hAnsi="Calibri" w:cs="Calibri"/>
                <w:color w:val="000000" w:themeColor="text1"/>
                <w:sz w:val="16"/>
                <w:szCs w:val="16"/>
                <w:lang w:eastAsia="es-PE"/>
              </w:rPr>
              <w:t xml:space="preserve"> portafolio de referencia, e, indicador medido como la diferencia entre el peso de un instrumento de inversión en el portafolio y el </w:t>
            </w:r>
            <w:proofErr w:type="spellStart"/>
            <w:r w:rsidRPr="00EB1794">
              <w:rPr>
                <w:rFonts w:ascii="Calibri" w:eastAsia="Times New Roman" w:hAnsi="Calibri" w:cs="Calibri"/>
                <w:color w:val="000000" w:themeColor="text1"/>
                <w:sz w:val="16"/>
                <w:szCs w:val="16"/>
                <w:lang w:eastAsia="es-PE"/>
              </w:rPr>
              <w:t>Contribution</w:t>
            </w:r>
            <w:proofErr w:type="spellEnd"/>
            <w:r w:rsidRPr="00EB1794">
              <w:rPr>
                <w:rFonts w:ascii="Calibri" w:eastAsia="Times New Roman" w:hAnsi="Calibri" w:cs="Calibri"/>
                <w:color w:val="000000" w:themeColor="text1"/>
                <w:sz w:val="16"/>
                <w:szCs w:val="16"/>
                <w:lang w:eastAsia="es-PE"/>
              </w:rPr>
              <w:t xml:space="preserve"> VaR.</w:t>
            </w:r>
          </w:p>
          <w:p w14:paraId="1BB8CF18"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Riesgo de crédito: niveles de pérdida esperada.</w:t>
            </w:r>
          </w:p>
          <w:p w14:paraId="1BED9E5E"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Riesgo de liquidez: indicadores de liquidez operativa mínimas</w:t>
            </w:r>
          </w:p>
          <w:p w14:paraId="05E1488B"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-Considerar el impacto de la integración de los factores ambientales, sociales y de gobierno corporativo en el perfil de riesgo del portafolio, que se son presentados y evaluados por la División de Riesgos.</w:t>
            </w:r>
          </w:p>
          <w:p w14:paraId="2EA8A3CC"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-Aprobar cambios en las políticas y manuales de procedimiento de la gestión de riesgo de inversión propuestos por la División de Riesgos para la integración del riesgo medio ambiental, social y de gobierno corporativo, a nivel de portafolio, clase de activo e instrumento u operación de inversión.</w:t>
            </w:r>
          </w:p>
          <w:p w14:paraId="16A09A26" w14:textId="77777777" w:rsidR="00350879" w:rsidRPr="00EB1794" w:rsidRDefault="00350879" w:rsidP="00350879">
            <w:pPr>
              <w:spacing w:after="0" w:line="240" w:lineRule="auto"/>
              <w:jc w:val="both"/>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-Considerar el informe por la División de Riesgos con el resultado del monitoreo de la negociación de instrumentos u operaciones de inversión de las Carteras Administradas.</w:t>
            </w:r>
          </w:p>
          <w:p w14:paraId="61B553FC" w14:textId="20AD6C1A" w:rsidR="00317098" w:rsidRPr="00350879" w:rsidRDefault="00350879" w:rsidP="00317098">
            <w:pPr>
              <w:spacing w:after="0" w:line="240" w:lineRule="auto"/>
              <w:rPr>
                <w:rFonts w:ascii="Calibri" w:eastAsia="Times New Roman" w:hAnsi="Calibri" w:cs="Calibri"/>
                <w:color w:val="FF0000"/>
                <w:sz w:val="16"/>
                <w:szCs w:val="16"/>
                <w:lang w:eastAsia="es-PE"/>
              </w:rPr>
            </w:pPr>
            <w:r w:rsidRPr="00EB1794">
              <w:rPr>
                <w:rFonts w:ascii="Calibri" w:eastAsia="Times New Roman" w:hAnsi="Calibri" w:cs="Calibri"/>
                <w:color w:val="000000" w:themeColor="text1"/>
                <w:sz w:val="16"/>
                <w:szCs w:val="16"/>
                <w:lang w:eastAsia="es-PE"/>
              </w:rPr>
              <w:t>-Considerar la evaluación realizada por la División de Riesgos que incluye los casos especiales que se presenten en el proceso de asignación de órdenes, a más tardar al día siguiente de su ocurrencia, considerando los procedimientos de autorización y documentación de sustento establecidos por la Unidad de Inversiones.</w:t>
            </w:r>
          </w:p>
        </w:tc>
      </w:tr>
      <w:tr w:rsidR="00350879" w:rsidRPr="00350879" w14:paraId="44A3C2DF" w14:textId="77777777" w:rsidTr="00350879">
        <w:trPr>
          <w:trHeight w:val="250"/>
        </w:trPr>
        <w:tc>
          <w:tcPr>
            <w:tcW w:w="9895" w:type="dxa"/>
            <w:gridSpan w:val="10"/>
            <w:tcBorders>
              <w:top w:val="nil"/>
              <w:left w:val="nil"/>
              <w:bottom w:val="nil"/>
              <w:right w:val="nil"/>
            </w:tcBorders>
            <w:shd w:val="clear" w:color="000000" w:fill="FFFFFF"/>
            <w:noWrap/>
            <w:vAlign w:val="center"/>
            <w:hideMark/>
          </w:tcPr>
          <w:p w14:paraId="61572A81"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5D3217A0"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07A79FA2" w14:textId="68068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r>
      <w:tr w:rsidR="00F11525" w:rsidRPr="00350879" w14:paraId="4A4850E1" w14:textId="77777777" w:rsidTr="00F11525">
        <w:trPr>
          <w:trHeight w:val="300"/>
        </w:trPr>
        <w:tc>
          <w:tcPr>
            <w:tcW w:w="196" w:type="dxa"/>
            <w:tcBorders>
              <w:top w:val="nil"/>
              <w:left w:val="nil"/>
              <w:bottom w:val="nil"/>
              <w:right w:val="nil"/>
            </w:tcBorders>
            <w:shd w:val="clear" w:color="000000" w:fill="FFFFFF"/>
            <w:noWrap/>
            <w:vAlign w:val="bottom"/>
            <w:hideMark/>
          </w:tcPr>
          <w:p w14:paraId="5977C7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31D3B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0994BD4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2CED9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A342D9"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28DE4784" w14:textId="77777777" w:rsidTr="00F11525">
        <w:trPr>
          <w:trHeight w:val="420"/>
        </w:trPr>
        <w:tc>
          <w:tcPr>
            <w:tcW w:w="196" w:type="dxa"/>
            <w:tcBorders>
              <w:top w:val="nil"/>
              <w:left w:val="nil"/>
              <w:bottom w:val="nil"/>
              <w:right w:val="nil"/>
            </w:tcBorders>
            <w:shd w:val="clear" w:color="000000" w:fill="FFFFFF"/>
            <w:noWrap/>
            <w:vAlign w:val="bottom"/>
            <w:hideMark/>
          </w:tcPr>
          <w:p w14:paraId="53539D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49D2234B"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1DA0C1E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3B3A68B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4AD12DF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55DD60FA"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F11525" w:rsidRPr="00350879" w14:paraId="28E956D5" w14:textId="77777777" w:rsidTr="00F11525">
        <w:trPr>
          <w:trHeight w:val="300"/>
        </w:trPr>
        <w:tc>
          <w:tcPr>
            <w:tcW w:w="196" w:type="dxa"/>
            <w:tcBorders>
              <w:top w:val="nil"/>
              <w:left w:val="nil"/>
              <w:bottom w:val="nil"/>
              <w:right w:val="nil"/>
            </w:tcBorders>
            <w:shd w:val="clear" w:color="000000" w:fill="FFFFFF"/>
            <w:noWrap/>
            <w:vAlign w:val="bottom"/>
            <w:hideMark/>
          </w:tcPr>
          <w:p w14:paraId="726A4D9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7330AF37" w14:textId="66C2B172"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roofErr w:type="spellStart"/>
            <w:r w:rsidRPr="00577D61">
              <w:rPr>
                <w:color w:val="000000" w:themeColor="text1"/>
                <w:sz w:val="16"/>
                <w:szCs w:val="16"/>
              </w:rPr>
              <w:t>Ruben</w:t>
            </w:r>
            <w:proofErr w:type="spellEnd"/>
            <w:r w:rsidRPr="00577D61">
              <w:rPr>
                <w:color w:val="000000" w:themeColor="text1"/>
                <w:sz w:val="16"/>
                <w:szCs w:val="16"/>
              </w:rPr>
              <w:t xml:space="preserve"> Loaiza Negreiros  </w:t>
            </w:r>
          </w:p>
        </w:tc>
        <w:tc>
          <w:tcPr>
            <w:tcW w:w="1921" w:type="dxa"/>
            <w:tcBorders>
              <w:top w:val="nil"/>
              <w:left w:val="nil"/>
              <w:bottom w:val="single" w:sz="4" w:space="0" w:color="auto"/>
              <w:right w:val="single" w:sz="4" w:space="0" w:color="auto"/>
            </w:tcBorders>
            <w:shd w:val="clear" w:color="000000" w:fill="EBF1DE"/>
            <w:vAlign w:val="center"/>
            <w:hideMark/>
          </w:tcPr>
          <w:p w14:paraId="2DBEC4E5" w14:textId="66865B65"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8/04/2005</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0A945F09" w14:textId="4B6D2EE5"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vAlign w:val="bottom"/>
            <w:hideMark/>
          </w:tcPr>
          <w:p w14:paraId="790E8793" w14:textId="24413F0D"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Presidente </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3D741228" w14:textId="7CBAFAFD"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Vicepresidente del Directorio</w:t>
            </w:r>
          </w:p>
        </w:tc>
      </w:tr>
      <w:tr w:rsidR="00F11525" w:rsidRPr="00350879" w14:paraId="445F9DB6" w14:textId="77777777" w:rsidTr="00F11525">
        <w:trPr>
          <w:trHeight w:val="250"/>
        </w:trPr>
        <w:tc>
          <w:tcPr>
            <w:tcW w:w="196" w:type="dxa"/>
            <w:tcBorders>
              <w:top w:val="nil"/>
              <w:left w:val="nil"/>
              <w:bottom w:val="nil"/>
              <w:right w:val="nil"/>
            </w:tcBorders>
            <w:shd w:val="clear" w:color="000000" w:fill="FFFFFF"/>
            <w:noWrap/>
            <w:vAlign w:val="bottom"/>
          </w:tcPr>
          <w:p w14:paraId="5537757E" w14:textId="77777777" w:rsidR="00F11525" w:rsidRPr="00350879" w:rsidRDefault="00F11525"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4BA34EBF" w14:textId="761C94F6"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 xml:space="preserve">Renzo Ricci </w:t>
            </w:r>
            <w:proofErr w:type="spellStart"/>
            <w:r w:rsidRPr="00577D61">
              <w:rPr>
                <w:color w:val="000000" w:themeColor="text1"/>
                <w:sz w:val="16"/>
                <w:szCs w:val="16"/>
              </w:rPr>
              <w:t>Cocchella</w:t>
            </w:r>
            <w:proofErr w:type="spellEnd"/>
            <w:r w:rsidRPr="00577D61">
              <w:rPr>
                <w:color w:val="000000" w:themeColor="text1"/>
                <w:sz w:val="16"/>
                <w:szCs w:val="16"/>
              </w:rPr>
              <w:t xml:space="preserve">  </w:t>
            </w:r>
          </w:p>
        </w:tc>
        <w:tc>
          <w:tcPr>
            <w:tcW w:w="1921" w:type="dxa"/>
            <w:tcBorders>
              <w:top w:val="nil"/>
              <w:left w:val="nil"/>
              <w:bottom w:val="single" w:sz="4" w:space="0" w:color="auto"/>
              <w:right w:val="single" w:sz="4" w:space="0" w:color="auto"/>
            </w:tcBorders>
            <w:shd w:val="clear" w:color="000000" w:fill="EBF1DE"/>
            <w:vAlign w:val="center"/>
          </w:tcPr>
          <w:p w14:paraId="5310C569" w14:textId="418B86E5"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30/03/2012</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457226AF" w14:textId="6BD89D22" w:rsidR="00F11525" w:rsidRPr="00577D61" w:rsidRDefault="008D0FA3" w:rsidP="00F11525">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31/03/2023</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4742E3BC" w14:textId="20C2DDD4"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Miembro </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6C278D2B" w14:textId="6261E498"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General</w:t>
            </w:r>
          </w:p>
        </w:tc>
      </w:tr>
      <w:tr w:rsidR="008D0FA3" w:rsidRPr="00350879" w14:paraId="58EEBA26" w14:textId="77777777" w:rsidTr="00F11525">
        <w:trPr>
          <w:trHeight w:val="250"/>
        </w:trPr>
        <w:tc>
          <w:tcPr>
            <w:tcW w:w="196" w:type="dxa"/>
            <w:tcBorders>
              <w:top w:val="nil"/>
              <w:left w:val="nil"/>
              <w:bottom w:val="nil"/>
              <w:right w:val="nil"/>
            </w:tcBorders>
            <w:shd w:val="clear" w:color="000000" w:fill="FFFFFF"/>
            <w:noWrap/>
            <w:vAlign w:val="bottom"/>
          </w:tcPr>
          <w:p w14:paraId="010E1C9A" w14:textId="77777777" w:rsidR="008D0FA3" w:rsidRPr="00350879" w:rsidRDefault="008D0FA3"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156BDF6B" w14:textId="420A1310" w:rsidR="008D0FA3" w:rsidRPr="00577D61" w:rsidRDefault="008D0FA3" w:rsidP="00F11525">
            <w:pPr>
              <w:spacing w:after="0" w:line="240" w:lineRule="auto"/>
              <w:rPr>
                <w:color w:val="000000" w:themeColor="text1"/>
                <w:sz w:val="16"/>
                <w:szCs w:val="16"/>
              </w:rPr>
            </w:pPr>
            <w:r w:rsidRPr="00577D61">
              <w:rPr>
                <w:color w:val="000000" w:themeColor="text1"/>
                <w:sz w:val="16"/>
                <w:szCs w:val="16"/>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6666CA6F" w14:textId="53CC7E4D" w:rsidR="008D0FA3" w:rsidRPr="00577D61" w:rsidRDefault="008D0FA3" w:rsidP="00F11525">
            <w:pPr>
              <w:spacing w:after="0" w:line="240" w:lineRule="auto"/>
              <w:rPr>
                <w:rFonts w:ascii="Calibri" w:hAnsi="Calibri" w:cs="Calibri"/>
                <w:color w:val="000000" w:themeColor="text1"/>
                <w:sz w:val="16"/>
                <w:szCs w:val="16"/>
              </w:rPr>
            </w:pPr>
            <w:r w:rsidRPr="00577D61">
              <w:rPr>
                <w:rFonts w:ascii="Calibri" w:hAnsi="Calibri" w:cs="Calibri"/>
                <w:color w:val="000000" w:themeColor="text1"/>
                <w:sz w:val="16"/>
                <w:szCs w:val="16"/>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071035E" w14:textId="77777777" w:rsidR="008D0FA3" w:rsidRPr="00577D61" w:rsidRDefault="008D0FA3"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A9AF2AE" w14:textId="7CE39B64" w:rsidR="008D0FA3" w:rsidRPr="00577D61" w:rsidRDefault="008D0FA3"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55CECA2" w14:textId="1E047489" w:rsidR="008D0FA3" w:rsidRPr="00577D61" w:rsidRDefault="008D0FA3"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General</w:t>
            </w:r>
          </w:p>
        </w:tc>
      </w:tr>
      <w:tr w:rsidR="00F11525" w:rsidRPr="00350879" w14:paraId="1FB3BFEA" w14:textId="77777777" w:rsidTr="00F11525">
        <w:trPr>
          <w:trHeight w:val="250"/>
        </w:trPr>
        <w:tc>
          <w:tcPr>
            <w:tcW w:w="196" w:type="dxa"/>
            <w:tcBorders>
              <w:top w:val="nil"/>
              <w:left w:val="nil"/>
              <w:bottom w:val="nil"/>
              <w:right w:val="nil"/>
            </w:tcBorders>
            <w:shd w:val="clear" w:color="000000" w:fill="FFFFFF"/>
            <w:noWrap/>
            <w:vAlign w:val="bottom"/>
          </w:tcPr>
          <w:p w14:paraId="604BF80A" w14:textId="77777777" w:rsidR="00F11525" w:rsidRPr="00350879" w:rsidRDefault="00F11525"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5D778E65" w14:textId="6EC4D14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 xml:space="preserve">Raúl </w:t>
            </w:r>
            <w:proofErr w:type="spellStart"/>
            <w:r w:rsidRPr="00577D61">
              <w:rPr>
                <w:color w:val="000000" w:themeColor="text1"/>
                <w:sz w:val="16"/>
                <w:szCs w:val="16"/>
              </w:rPr>
              <w:t>Pinglo</w:t>
            </w:r>
            <w:proofErr w:type="spellEnd"/>
            <w:r w:rsidRPr="00577D61">
              <w:rPr>
                <w:color w:val="000000" w:themeColor="text1"/>
                <w:sz w:val="16"/>
                <w:szCs w:val="16"/>
              </w:rPr>
              <w:t xml:space="preserve"> Meza Cuadra</w:t>
            </w:r>
          </w:p>
        </w:tc>
        <w:tc>
          <w:tcPr>
            <w:tcW w:w="1921" w:type="dxa"/>
            <w:tcBorders>
              <w:top w:val="nil"/>
              <w:left w:val="nil"/>
              <w:bottom w:val="single" w:sz="4" w:space="0" w:color="auto"/>
              <w:right w:val="single" w:sz="4" w:space="0" w:color="auto"/>
            </w:tcBorders>
            <w:shd w:val="clear" w:color="000000" w:fill="EBF1DE"/>
            <w:vAlign w:val="center"/>
          </w:tcPr>
          <w:p w14:paraId="4E9E8EB5" w14:textId="0F9E5529"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D5A3AD" w14:textId="77777777"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F4E93C" w14:textId="4835C5CF"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3FA45DEA" w14:textId="183547F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Riesgos</w:t>
            </w:r>
          </w:p>
        </w:tc>
      </w:tr>
      <w:tr w:rsidR="00F11525" w:rsidRPr="00350879" w14:paraId="79828A0A" w14:textId="77777777" w:rsidTr="00F11525">
        <w:trPr>
          <w:trHeight w:val="250"/>
        </w:trPr>
        <w:tc>
          <w:tcPr>
            <w:tcW w:w="196" w:type="dxa"/>
            <w:tcBorders>
              <w:top w:val="nil"/>
              <w:left w:val="nil"/>
              <w:bottom w:val="nil"/>
              <w:right w:val="nil"/>
            </w:tcBorders>
            <w:shd w:val="clear" w:color="000000" w:fill="FFFFFF"/>
            <w:noWrap/>
            <w:vAlign w:val="bottom"/>
            <w:hideMark/>
          </w:tcPr>
          <w:p w14:paraId="1AB4FC1A"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2C38394E" w14:textId="317EEC2A"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 xml:space="preserve">Juan Pablo Noziglia Montjoy </w:t>
            </w:r>
          </w:p>
        </w:tc>
        <w:tc>
          <w:tcPr>
            <w:tcW w:w="1921" w:type="dxa"/>
            <w:tcBorders>
              <w:top w:val="nil"/>
              <w:left w:val="nil"/>
              <w:bottom w:val="single" w:sz="4" w:space="0" w:color="auto"/>
              <w:right w:val="single" w:sz="4" w:space="0" w:color="auto"/>
            </w:tcBorders>
            <w:shd w:val="clear" w:color="000000" w:fill="EBF1DE"/>
            <w:vAlign w:val="center"/>
            <w:hideMark/>
          </w:tcPr>
          <w:p w14:paraId="03FB203C" w14:textId="6B80839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5410486E" w14:textId="3C45D70E"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0FB78B5E" w14:textId="746E3F82"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0F6A3BBD" w14:textId="4E1FC11C"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Inversiones</w:t>
            </w:r>
          </w:p>
        </w:tc>
      </w:tr>
      <w:tr w:rsidR="00F11525" w:rsidRPr="00350879" w14:paraId="56CB0E78" w14:textId="77777777" w:rsidTr="00F11525">
        <w:trPr>
          <w:trHeight w:val="250"/>
        </w:trPr>
        <w:tc>
          <w:tcPr>
            <w:tcW w:w="196" w:type="dxa"/>
            <w:tcBorders>
              <w:top w:val="nil"/>
              <w:left w:val="nil"/>
              <w:bottom w:val="nil"/>
              <w:right w:val="nil"/>
            </w:tcBorders>
            <w:shd w:val="clear" w:color="000000" w:fill="FFFFFF"/>
            <w:noWrap/>
            <w:vAlign w:val="bottom"/>
            <w:hideMark/>
          </w:tcPr>
          <w:p w14:paraId="1FF68D4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5097C3EC" w14:textId="144AA13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Gonzalo Camargo Cárdenas</w:t>
            </w:r>
          </w:p>
        </w:tc>
        <w:tc>
          <w:tcPr>
            <w:tcW w:w="1921" w:type="dxa"/>
            <w:tcBorders>
              <w:top w:val="nil"/>
              <w:left w:val="nil"/>
              <w:bottom w:val="single" w:sz="4" w:space="0" w:color="auto"/>
              <w:right w:val="single" w:sz="4" w:space="0" w:color="auto"/>
            </w:tcBorders>
            <w:shd w:val="clear" w:color="000000" w:fill="EBF1DE"/>
            <w:vAlign w:val="center"/>
            <w:hideMark/>
          </w:tcPr>
          <w:p w14:paraId="694425B9" w14:textId="765C8C5C" w:rsidR="00F11525" w:rsidRPr="00577D61" w:rsidRDefault="00242A56" w:rsidP="00F11525">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01/01/2022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7668271C" w14:textId="44BAD6D2"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14B15582" w14:textId="1CC8AD8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722A2B46" w14:textId="7777777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350879" w:rsidRPr="00350879" w14:paraId="6BC57C9E" w14:textId="77777777" w:rsidTr="00F11525">
        <w:trPr>
          <w:trHeight w:val="400"/>
        </w:trPr>
        <w:tc>
          <w:tcPr>
            <w:tcW w:w="196" w:type="dxa"/>
            <w:tcBorders>
              <w:top w:val="nil"/>
              <w:left w:val="nil"/>
              <w:bottom w:val="nil"/>
              <w:right w:val="nil"/>
            </w:tcBorders>
            <w:shd w:val="clear" w:color="000000" w:fill="FFFFFF"/>
            <w:noWrap/>
            <w:vAlign w:val="bottom"/>
            <w:hideMark/>
          </w:tcPr>
          <w:p w14:paraId="46F6FD1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C59347B"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 xml:space="preserve">% </w:t>
            </w:r>
            <w:proofErr w:type="gramStart"/>
            <w:r w:rsidRPr="00577D61">
              <w:rPr>
                <w:rFonts w:ascii="Arial" w:eastAsia="Times New Roman" w:hAnsi="Arial" w:cs="Arial"/>
                <w:color w:val="000000" w:themeColor="text1"/>
                <w:sz w:val="20"/>
                <w:szCs w:val="20"/>
                <w:lang w:eastAsia="es-PE"/>
              </w:rPr>
              <w:t>Directores</w:t>
            </w:r>
            <w:proofErr w:type="gramEnd"/>
            <w:r w:rsidRPr="00577D61">
              <w:rPr>
                <w:rFonts w:ascii="Arial" w:eastAsia="Times New Roman" w:hAnsi="Arial" w:cs="Arial"/>
                <w:color w:val="000000" w:themeColor="text1"/>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553EF839" w14:textId="3F63CA69" w:rsidR="00350879" w:rsidRPr="00577D61" w:rsidRDefault="00350879" w:rsidP="00350879">
            <w:pPr>
              <w:spacing w:after="0" w:line="240" w:lineRule="auto"/>
              <w:jc w:val="right"/>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w:t>
            </w:r>
          </w:p>
        </w:tc>
      </w:tr>
      <w:tr w:rsidR="00350879" w:rsidRPr="00350879" w14:paraId="7E129240" w14:textId="77777777" w:rsidTr="00F11525">
        <w:trPr>
          <w:trHeight w:val="250"/>
        </w:trPr>
        <w:tc>
          <w:tcPr>
            <w:tcW w:w="196" w:type="dxa"/>
            <w:tcBorders>
              <w:top w:val="nil"/>
              <w:left w:val="nil"/>
              <w:bottom w:val="nil"/>
              <w:right w:val="nil"/>
            </w:tcBorders>
            <w:shd w:val="clear" w:color="000000" w:fill="FFFFFF"/>
            <w:noWrap/>
            <w:vAlign w:val="bottom"/>
            <w:hideMark/>
          </w:tcPr>
          <w:p w14:paraId="124AB868"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7911CC3"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75093A68" w14:textId="5A2B9C1E" w:rsidR="00350879" w:rsidRPr="00577D61" w:rsidRDefault="00350879" w:rsidP="00350879">
            <w:pPr>
              <w:spacing w:after="0" w:line="240" w:lineRule="auto"/>
              <w:jc w:val="right"/>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1</w:t>
            </w:r>
            <w:r w:rsidR="00A77CB8" w:rsidRPr="00577D61">
              <w:rPr>
                <w:rFonts w:ascii="Calibri" w:eastAsia="Times New Roman" w:hAnsi="Calibri" w:cs="Calibri"/>
                <w:color w:val="000000" w:themeColor="text1"/>
                <w:sz w:val="16"/>
                <w:szCs w:val="16"/>
                <w:lang w:eastAsia="es-PE"/>
              </w:rPr>
              <w:t>6</w:t>
            </w:r>
          </w:p>
        </w:tc>
      </w:tr>
      <w:tr w:rsidR="00350879" w:rsidRPr="00350879" w14:paraId="775BE601" w14:textId="77777777" w:rsidTr="00F11525">
        <w:trPr>
          <w:trHeight w:val="165"/>
        </w:trPr>
        <w:tc>
          <w:tcPr>
            <w:tcW w:w="196" w:type="dxa"/>
            <w:tcBorders>
              <w:top w:val="nil"/>
              <w:left w:val="nil"/>
              <w:bottom w:val="nil"/>
              <w:right w:val="nil"/>
            </w:tcBorders>
            <w:shd w:val="clear" w:color="000000" w:fill="FFFFFF"/>
            <w:noWrap/>
            <w:vAlign w:val="bottom"/>
            <w:hideMark/>
          </w:tcPr>
          <w:p w14:paraId="2981A5C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C2696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651D27B"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1C04988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7FBDF6E" w14:textId="77777777" w:rsidTr="00F11525">
        <w:trPr>
          <w:trHeight w:val="260"/>
        </w:trPr>
        <w:tc>
          <w:tcPr>
            <w:tcW w:w="196" w:type="dxa"/>
            <w:tcBorders>
              <w:top w:val="nil"/>
              <w:left w:val="nil"/>
              <w:bottom w:val="nil"/>
              <w:right w:val="nil"/>
            </w:tcBorders>
            <w:shd w:val="clear" w:color="000000" w:fill="FFFFFF"/>
            <w:noWrap/>
            <w:vAlign w:val="bottom"/>
            <w:hideMark/>
          </w:tcPr>
          <w:p w14:paraId="1B939D57"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0907D88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0D0A057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4815577" w14:textId="26EDB21F" w:rsidR="00350879" w:rsidRPr="00350879" w:rsidRDefault="00350879" w:rsidP="00F11525">
            <w:pPr>
              <w:spacing w:after="0" w:line="240" w:lineRule="auto"/>
              <w:rPr>
                <w:rFonts w:ascii="Calibri" w:eastAsia="Times New Roman" w:hAnsi="Calibri" w:cs="Calibri"/>
                <w:color w:val="000000"/>
                <w:sz w:val="20"/>
                <w:szCs w:val="20"/>
                <w:lang w:eastAsia="es-PE"/>
              </w:rPr>
            </w:pPr>
          </w:p>
        </w:tc>
        <w:tc>
          <w:tcPr>
            <w:tcW w:w="406" w:type="dxa"/>
            <w:tcBorders>
              <w:top w:val="nil"/>
              <w:left w:val="nil"/>
              <w:bottom w:val="nil"/>
              <w:right w:val="single" w:sz="4" w:space="0" w:color="auto"/>
            </w:tcBorders>
            <w:shd w:val="clear" w:color="000000" w:fill="FFFFFF"/>
            <w:noWrap/>
            <w:vAlign w:val="bottom"/>
            <w:hideMark/>
          </w:tcPr>
          <w:p w14:paraId="00B893E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440E6D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8900D6E" w14:textId="10F1CA61"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sidR="00F11525">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496021C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39242EFC" w14:textId="77777777" w:rsidTr="00F11525">
        <w:trPr>
          <w:trHeight w:val="150"/>
        </w:trPr>
        <w:tc>
          <w:tcPr>
            <w:tcW w:w="196" w:type="dxa"/>
            <w:tcBorders>
              <w:top w:val="nil"/>
              <w:left w:val="nil"/>
              <w:bottom w:val="nil"/>
              <w:right w:val="nil"/>
            </w:tcBorders>
            <w:shd w:val="clear" w:color="000000" w:fill="FFFFFF"/>
            <w:noWrap/>
            <w:vAlign w:val="bottom"/>
            <w:hideMark/>
          </w:tcPr>
          <w:p w14:paraId="64B72B2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61FFF0E7"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shd w:val="clear" w:color="auto" w:fill="auto"/>
            <w:noWrap/>
            <w:vAlign w:val="bottom"/>
            <w:hideMark/>
          </w:tcPr>
          <w:p w14:paraId="32C9B76B" w14:textId="4CCAAABB"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5520" behindDoc="0" locked="0" layoutInCell="1" allowOverlap="1" wp14:anchorId="76C3886C" wp14:editId="2C04BCC5">
                      <wp:simplePos x="0" y="0"/>
                      <wp:positionH relativeFrom="column">
                        <wp:posOffset>0</wp:posOffset>
                      </wp:positionH>
                      <wp:positionV relativeFrom="paragraph">
                        <wp:posOffset>6350</wp:posOffset>
                      </wp:positionV>
                      <wp:extent cx="12700" cy="177800"/>
                      <wp:effectExtent l="0" t="0" r="25400" b="12700"/>
                      <wp:wrapNone/>
                      <wp:docPr id="23555" name="Rectángulo 23555">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6881BFA" id="Rectángulo 23555" o:spid="_x0000_s1026" style="position:absolute;margin-left:0;margin-top:.5pt;width:1pt;height:1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350879" w:rsidRPr="00350879" w14:paraId="123DF159"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7F8E541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6D608CEA" w14:textId="77777777" w:rsidR="00350879" w:rsidRPr="00350879" w:rsidRDefault="00350879" w:rsidP="00350879">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2C0AE5F2"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C9DC95A" w14:textId="77777777" w:rsidTr="00F11525">
        <w:trPr>
          <w:trHeight w:val="90"/>
        </w:trPr>
        <w:tc>
          <w:tcPr>
            <w:tcW w:w="196" w:type="dxa"/>
            <w:tcBorders>
              <w:top w:val="nil"/>
              <w:left w:val="nil"/>
              <w:bottom w:val="nil"/>
              <w:right w:val="nil"/>
            </w:tcBorders>
            <w:shd w:val="clear" w:color="000000" w:fill="FFFFFF"/>
            <w:noWrap/>
            <w:vAlign w:val="bottom"/>
            <w:hideMark/>
          </w:tcPr>
          <w:p w14:paraId="3C2B4A9F"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3DA7D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017B76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E38CD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4A1C275D" w14:textId="77777777" w:rsidTr="00F11525">
        <w:trPr>
          <w:trHeight w:val="260"/>
        </w:trPr>
        <w:tc>
          <w:tcPr>
            <w:tcW w:w="196" w:type="dxa"/>
            <w:tcBorders>
              <w:top w:val="nil"/>
              <w:left w:val="nil"/>
              <w:bottom w:val="nil"/>
              <w:right w:val="nil"/>
            </w:tcBorders>
            <w:shd w:val="clear" w:color="000000" w:fill="FFFFFF"/>
            <w:noWrap/>
            <w:vAlign w:val="bottom"/>
            <w:hideMark/>
          </w:tcPr>
          <w:p w14:paraId="1C4247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5C1CAD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668F8986"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B9BB757"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406" w:type="dxa"/>
            <w:tcBorders>
              <w:top w:val="nil"/>
              <w:left w:val="nil"/>
              <w:bottom w:val="nil"/>
              <w:right w:val="single" w:sz="4" w:space="0" w:color="auto"/>
            </w:tcBorders>
            <w:shd w:val="clear" w:color="000000" w:fill="FFFFFF"/>
            <w:noWrap/>
            <w:vAlign w:val="bottom"/>
            <w:hideMark/>
          </w:tcPr>
          <w:p w14:paraId="0FD5606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07DFC9B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F4A9F8A"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5CD74919"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41FA672" w14:textId="77777777" w:rsidTr="00F11525">
        <w:trPr>
          <w:trHeight w:val="105"/>
        </w:trPr>
        <w:tc>
          <w:tcPr>
            <w:tcW w:w="196" w:type="dxa"/>
            <w:tcBorders>
              <w:top w:val="nil"/>
              <w:left w:val="nil"/>
              <w:bottom w:val="nil"/>
              <w:right w:val="nil"/>
            </w:tcBorders>
            <w:shd w:val="clear" w:color="000000" w:fill="FFFFFF"/>
            <w:noWrap/>
            <w:vAlign w:val="bottom"/>
            <w:hideMark/>
          </w:tcPr>
          <w:p w14:paraId="351EE81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7DBB656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192DAAC3"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07FCB104"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2B29CA49" w14:textId="77777777" w:rsidTr="00350879">
        <w:trPr>
          <w:trHeight w:val="600"/>
        </w:trPr>
        <w:tc>
          <w:tcPr>
            <w:tcW w:w="196" w:type="dxa"/>
            <w:tcBorders>
              <w:top w:val="nil"/>
              <w:left w:val="nil"/>
              <w:bottom w:val="nil"/>
              <w:right w:val="nil"/>
            </w:tcBorders>
            <w:shd w:val="clear" w:color="000000" w:fill="FFFFFF"/>
            <w:noWrap/>
            <w:vAlign w:val="center"/>
            <w:hideMark/>
          </w:tcPr>
          <w:p w14:paraId="4D411B8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noWrap/>
            <w:vAlign w:val="bottom"/>
            <w:hideMark/>
          </w:tcPr>
          <w:p w14:paraId="55CA327B" w14:textId="0427E75C"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6544" behindDoc="0" locked="0" layoutInCell="1" allowOverlap="1" wp14:anchorId="46559EA1" wp14:editId="217798A6">
                      <wp:simplePos x="0" y="0"/>
                      <wp:positionH relativeFrom="column">
                        <wp:posOffset>3606800</wp:posOffset>
                      </wp:positionH>
                      <wp:positionV relativeFrom="paragraph">
                        <wp:posOffset>25400</wp:posOffset>
                      </wp:positionV>
                      <wp:extent cx="12700" cy="31750"/>
                      <wp:effectExtent l="0" t="0" r="25400" b="25400"/>
                      <wp:wrapNone/>
                      <wp:docPr id="23553" name="Rectángulo 23553">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C0633C2" id="Rectángulo 23553" o:spid="_x0000_s1026" style="position:absolute;margin-left:284pt;margin-top:2pt;width:1pt;height: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350879" w:rsidRPr="00350879" w14:paraId="0CBC3AA1" w14:textId="77777777">
              <w:trPr>
                <w:trHeight w:val="600"/>
                <w:tblCellSpacing w:w="0" w:type="dxa"/>
              </w:trPr>
              <w:tc>
                <w:tcPr>
                  <w:tcW w:w="8840" w:type="dxa"/>
                  <w:tcBorders>
                    <w:top w:val="nil"/>
                    <w:left w:val="nil"/>
                    <w:bottom w:val="nil"/>
                    <w:right w:val="nil"/>
                  </w:tcBorders>
                  <w:shd w:val="clear" w:color="000000" w:fill="FFFFFF"/>
                  <w:vAlign w:val="center"/>
                  <w:hideMark/>
                </w:tcPr>
                <w:p w14:paraId="48FF7F1C"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2C21E3B8" w14:textId="77777777" w:rsidR="00350879" w:rsidRPr="00350879" w:rsidRDefault="00350879" w:rsidP="00350879">
            <w:pPr>
              <w:spacing w:after="0" w:line="240" w:lineRule="auto"/>
              <w:rPr>
                <w:rFonts w:ascii="Calibri" w:eastAsia="Times New Roman" w:hAnsi="Calibri" w:cs="Calibri"/>
                <w:color w:val="000000"/>
                <w:lang w:eastAsia="es-PE"/>
              </w:rPr>
            </w:pPr>
          </w:p>
        </w:tc>
      </w:tr>
      <w:tr w:rsidR="00350879" w:rsidRPr="00350879" w14:paraId="670E316E" w14:textId="77777777" w:rsidTr="00350879">
        <w:trPr>
          <w:trHeight w:val="290"/>
        </w:trPr>
        <w:tc>
          <w:tcPr>
            <w:tcW w:w="196" w:type="dxa"/>
            <w:tcBorders>
              <w:top w:val="nil"/>
              <w:left w:val="nil"/>
              <w:bottom w:val="nil"/>
              <w:right w:val="nil"/>
            </w:tcBorders>
            <w:shd w:val="clear" w:color="000000" w:fill="FFFFFF"/>
            <w:noWrap/>
            <w:vAlign w:val="center"/>
            <w:hideMark/>
          </w:tcPr>
          <w:p w14:paraId="7D420E16" w14:textId="77777777" w:rsidR="00350879" w:rsidRPr="00350879" w:rsidRDefault="00350879" w:rsidP="00350879">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6A234B57"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350879" w:rsidRPr="00350879" w14:paraId="33F1A062" w14:textId="77777777" w:rsidTr="00350879">
        <w:trPr>
          <w:trHeight w:val="250"/>
        </w:trPr>
        <w:tc>
          <w:tcPr>
            <w:tcW w:w="196" w:type="dxa"/>
            <w:tcBorders>
              <w:top w:val="nil"/>
              <w:left w:val="nil"/>
              <w:bottom w:val="nil"/>
              <w:right w:val="nil"/>
            </w:tcBorders>
            <w:shd w:val="clear" w:color="000000" w:fill="FFFFFF"/>
            <w:noWrap/>
            <w:vAlign w:val="center"/>
            <w:hideMark/>
          </w:tcPr>
          <w:p w14:paraId="268B273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vAlign w:val="center"/>
            <w:hideMark/>
          </w:tcPr>
          <w:p w14:paraId="436C7C84" w14:textId="77777777" w:rsidR="00350879" w:rsidRPr="00350879" w:rsidRDefault="00350879" w:rsidP="00350879">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02921AE7" w14:textId="1604A79F" w:rsidR="00350879" w:rsidRDefault="00350879"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417"/>
        <w:gridCol w:w="243"/>
        <w:gridCol w:w="639"/>
        <w:gridCol w:w="290"/>
        <w:gridCol w:w="196"/>
      </w:tblGrid>
      <w:tr w:rsidR="00350879" w:rsidRPr="00350879" w14:paraId="114D46D1" w14:textId="77777777" w:rsidTr="00F11525">
        <w:trPr>
          <w:trHeight w:val="250"/>
        </w:trPr>
        <w:tc>
          <w:tcPr>
            <w:tcW w:w="196" w:type="dxa"/>
            <w:tcBorders>
              <w:top w:val="nil"/>
              <w:left w:val="nil"/>
              <w:bottom w:val="nil"/>
              <w:right w:val="nil"/>
            </w:tcBorders>
            <w:shd w:val="clear" w:color="000000" w:fill="FFFFFF"/>
            <w:vAlign w:val="center"/>
            <w:hideMark/>
          </w:tcPr>
          <w:p w14:paraId="2A9177C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9ADF2ED" w14:textId="59135FDC"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sidR="00F11525">
              <w:rPr>
                <w:rFonts w:ascii="Arial" w:eastAsia="Times New Roman" w:hAnsi="Arial" w:cs="Arial"/>
                <w:color w:val="000000"/>
                <w:sz w:val="20"/>
                <w:szCs w:val="20"/>
                <w:lang w:eastAsia="es-PE"/>
              </w:rPr>
              <w:t>6</w:t>
            </w:r>
          </w:p>
        </w:tc>
      </w:tr>
      <w:tr w:rsidR="00F11525" w:rsidRPr="00350879" w14:paraId="6AF0FB19" w14:textId="77777777" w:rsidTr="00F11525">
        <w:trPr>
          <w:trHeight w:val="250"/>
        </w:trPr>
        <w:tc>
          <w:tcPr>
            <w:tcW w:w="196" w:type="dxa"/>
            <w:tcBorders>
              <w:top w:val="nil"/>
              <w:left w:val="nil"/>
              <w:bottom w:val="nil"/>
              <w:right w:val="nil"/>
            </w:tcBorders>
            <w:shd w:val="clear" w:color="000000" w:fill="FFFFFF"/>
            <w:noWrap/>
            <w:vAlign w:val="bottom"/>
            <w:hideMark/>
          </w:tcPr>
          <w:p w14:paraId="5CA275CC"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E03F3"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663A703E" w14:textId="58132111"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Comit</w:t>
            </w:r>
            <w:r>
              <w:rPr>
                <w:rFonts w:ascii="Calibri" w:eastAsia="Times New Roman" w:hAnsi="Calibri" w:cs="Calibri"/>
                <w:color w:val="000000"/>
                <w:sz w:val="16"/>
                <w:szCs w:val="16"/>
                <w:lang w:eastAsia="es-PE"/>
              </w:rPr>
              <w:t>é</w:t>
            </w:r>
            <w:r w:rsidRPr="009C7E9A">
              <w:rPr>
                <w:rFonts w:ascii="Calibri" w:eastAsia="Times New Roman" w:hAnsi="Calibri" w:cs="Calibri"/>
                <w:color w:val="000000"/>
                <w:sz w:val="16"/>
                <w:szCs w:val="16"/>
                <w:lang w:eastAsia="es-PE"/>
              </w:rPr>
              <w:t xml:space="preserve"> de Inversiones - Prima AFP</w:t>
            </w:r>
          </w:p>
        </w:tc>
      </w:tr>
      <w:tr w:rsidR="00F11525" w:rsidRPr="00350879" w14:paraId="179C754A" w14:textId="77777777" w:rsidTr="00F11525">
        <w:trPr>
          <w:trHeight w:val="250"/>
        </w:trPr>
        <w:tc>
          <w:tcPr>
            <w:tcW w:w="196" w:type="dxa"/>
            <w:tcBorders>
              <w:top w:val="nil"/>
              <w:left w:val="nil"/>
              <w:bottom w:val="nil"/>
              <w:right w:val="nil"/>
            </w:tcBorders>
            <w:shd w:val="clear" w:color="000000" w:fill="FFFFFF"/>
            <w:noWrap/>
            <w:vAlign w:val="bottom"/>
            <w:hideMark/>
          </w:tcPr>
          <w:p w14:paraId="39DDE299"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4ACC72"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2091E21F" w14:textId="1FE04E78"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8/04/2005</w:t>
            </w:r>
          </w:p>
        </w:tc>
      </w:tr>
      <w:tr w:rsidR="00F11525" w:rsidRPr="00350879" w14:paraId="28B4A08C" w14:textId="77777777" w:rsidTr="00F11525">
        <w:trPr>
          <w:trHeight w:val="2950"/>
        </w:trPr>
        <w:tc>
          <w:tcPr>
            <w:tcW w:w="196" w:type="dxa"/>
            <w:tcBorders>
              <w:top w:val="nil"/>
              <w:left w:val="nil"/>
              <w:bottom w:val="nil"/>
              <w:right w:val="nil"/>
            </w:tcBorders>
            <w:shd w:val="clear" w:color="000000" w:fill="FFFFFF"/>
            <w:noWrap/>
            <w:vAlign w:val="bottom"/>
            <w:hideMark/>
          </w:tcPr>
          <w:p w14:paraId="684C49E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BD3C8D"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59B3A93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Constituyen sus principales funciones:</w:t>
            </w:r>
          </w:p>
          <w:p w14:paraId="5C7074FB"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-Revisar el marco mensual de la estrategia de inversión en coordinación con el Directorio cuando la normativa lo requiera, sobre la base de las propuestas de la división de Inversiones, en concordancia con los límites legales e internos aplicables.</w:t>
            </w:r>
          </w:p>
          <w:p w14:paraId="6144A9A2"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-Discutir las recomendaciones y ajustes a las estrategias de inversión y oportunidades de inversión específicas.</w:t>
            </w:r>
          </w:p>
          <w:p w14:paraId="222C8DA3" w14:textId="0304FD39"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-Se encargar</w:t>
            </w:r>
            <w:r w:rsidR="00024E81">
              <w:rPr>
                <w:rFonts w:ascii="Calibri" w:eastAsia="Times New Roman" w:hAnsi="Calibri" w:cs="Calibri"/>
                <w:sz w:val="16"/>
                <w:szCs w:val="16"/>
                <w:lang w:eastAsia="es-PE"/>
              </w:rPr>
              <w:t>á</w:t>
            </w:r>
            <w:r w:rsidRPr="009C7E9A">
              <w:rPr>
                <w:rFonts w:ascii="Calibri" w:eastAsia="Times New Roman" w:hAnsi="Calibri" w:cs="Calibri"/>
                <w:sz w:val="16"/>
                <w:szCs w:val="16"/>
                <w:lang w:eastAsia="es-PE"/>
              </w:rPr>
              <w:t xml:space="preserve"> de autorizar los tipos de Instrumentos de Inversión Elegibles y/o subclases de activos en los que las carteras administradas podrán invertir. De manera adicional, si la coyuntura lo requiere, el Comité de Inversiones tendrá la facultad de realizar cambios en la estructura objetivo del fondo.</w:t>
            </w:r>
          </w:p>
          <w:p w14:paraId="22425B4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en: i) porcentajes de Inversión Objetivo, Máximos y Mínimos, </w:t>
            </w:r>
            <w:proofErr w:type="spellStart"/>
            <w:r w:rsidRPr="009C7E9A">
              <w:rPr>
                <w:rFonts w:ascii="Calibri" w:eastAsia="Times New Roman" w:hAnsi="Calibri" w:cs="Calibri"/>
                <w:sz w:val="16"/>
                <w:szCs w:val="16"/>
                <w:lang w:eastAsia="es-PE"/>
              </w:rPr>
              <w:t>ii</w:t>
            </w:r>
            <w:proofErr w:type="spellEnd"/>
            <w:r w:rsidRPr="009C7E9A">
              <w:rPr>
                <w:rFonts w:ascii="Calibri" w:eastAsia="Times New Roman" w:hAnsi="Calibri" w:cs="Calibri"/>
                <w:sz w:val="16"/>
                <w:szCs w:val="16"/>
                <w:lang w:eastAsia="es-PE"/>
              </w:rPr>
              <w:t xml:space="preserve">) Políticas de Inversiones, </w:t>
            </w:r>
            <w:proofErr w:type="spellStart"/>
            <w:r w:rsidRPr="009C7E9A">
              <w:rPr>
                <w:rFonts w:ascii="Calibri" w:eastAsia="Times New Roman" w:hAnsi="Calibri" w:cs="Calibri"/>
                <w:sz w:val="16"/>
                <w:szCs w:val="16"/>
                <w:lang w:eastAsia="es-PE"/>
              </w:rPr>
              <w:t>iii</w:t>
            </w:r>
            <w:proofErr w:type="spellEnd"/>
            <w:r w:rsidRPr="009C7E9A">
              <w:rPr>
                <w:rFonts w:ascii="Calibri" w:eastAsia="Times New Roman" w:hAnsi="Calibri" w:cs="Calibri"/>
                <w:sz w:val="16"/>
                <w:szCs w:val="16"/>
                <w:lang w:eastAsia="es-PE"/>
              </w:rPr>
              <w:t>) manuales procedimientos y guías referidas en las Políticas de Inversiones por Tipo de Fondo.</w:t>
            </w:r>
          </w:p>
          <w:p w14:paraId="66B40A41"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-Encargado de revisar el informe que la </w:t>
            </w:r>
            <w:r>
              <w:rPr>
                <w:rFonts w:ascii="Calibri" w:eastAsia="Times New Roman" w:hAnsi="Calibri" w:cs="Calibri"/>
                <w:sz w:val="16"/>
                <w:szCs w:val="16"/>
                <w:lang w:eastAsia="es-PE"/>
              </w:rPr>
              <w:t>D</w:t>
            </w:r>
            <w:r w:rsidRPr="009C7E9A">
              <w:rPr>
                <w:rFonts w:ascii="Calibri" w:eastAsia="Times New Roman" w:hAnsi="Calibri" w:cs="Calibri"/>
                <w:sz w:val="16"/>
                <w:szCs w:val="16"/>
                <w:lang w:eastAsia="es-PE"/>
              </w:rPr>
              <w:t>ivisión de Inversiones deberá presentar mensualmente. En dicho informe se reportarán las inversiones efectuadas en las Cartera Administradas durante el mes anterior, así como las estrategias adoptadas ante cambios en la coyuntura y expectativas de mercado.</w:t>
            </w:r>
          </w:p>
          <w:p w14:paraId="23FA558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a los niveles de autonomía para luego ser ratificada en Directorio y Comité de Riesgos. El Comité de Inversiones </w:t>
            </w:r>
            <w:proofErr w:type="gramStart"/>
            <w:r w:rsidRPr="009C7E9A">
              <w:rPr>
                <w:rFonts w:ascii="Calibri" w:eastAsia="Times New Roman" w:hAnsi="Calibri" w:cs="Calibri"/>
                <w:sz w:val="16"/>
                <w:szCs w:val="16"/>
                <w:lang w:eastAsia="es-PE"/>
              </w:rPr>
              <w:t>aprobara</w:t>
            </w:r>
            <w:proofErr w:type="gramEnd"/>
            <w:r w:rsidRPr="009C7E9A">
              <w:rPr>
                <w:rFonts w:ascii="Calibri" w:eastAsia="Times New Roman" w:hAnsi="Calibri" w:cs="Calibri"/>
                <w:sz w:val="16"/>
                <w:szCs w:val="16"/>
                <w:lang w:eastAsia="es-PE"/>
              </w:rPr>
              <w:t xml:space="preserve"> y podrá limitar autonomías especificas por clase de activo.</w:t>
            </w:r>
          </w:p>
          <w:p w14:paraId="55B0D850"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-Encargado de aprobar las clases de activos y/o activos individuales sujetos de ser prestados, así como susceptibles de ser adquiridos bajo operaciones de reporte.</w:t>
            </w:r>
          </w:p>
          <w:p w14:paraId="7C6769F3"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lastRenderedPageBreak/>
              <w:t xml:space="preserve">-Aprobar el Estratégica </w:t>
            </w:r>
            <w:proofErr w:type="spellStart"/>
            <w:r w:rsidRPr="009C7E9A">
              <w:rPr>
                <w:rFonts w:ascii="Calibri" w:eastAsia="Times New Roman" w:hAnsi="Calibri" w:cs="Calibri"/>
                <w:sz w:val="16"/>
                <w:szCs w:val="16"/>
                <w:lang w:eastAsia="es-PE"/>
              </w:rPr>
              <w:t>Asset</w:t>
            </w:r>
            <w:proofErr w:type="spellEnd"/>
            <w:r w:rsidRPr="009C7E9A">
              <w:rPr>
                <w:rFonts w:ascii="Calibri" w:eastAsia="Times New Roman" w:hAnsi="Calibri" w:cs="Calibri"/>
                <w:sz w:val="16"/>
                <w:szCs w:val="16"/>
                <w:lang w:eastAsia="es-PE"/>
              </w:rPr>
              <w:t xml:space="preserve"> </w:t>
            </w:r>
            <w:proofErr w:type="spellStart"/>
            <w:r w:rsidRPr="009C7E9A">
              <w:rPr>
                <w:rFonts w:ascii="Calibri" w:eastAsia="Times New Roman" w:hAnsi="Calibri" w:cs="Calibri"/>
                <w:sz w:val="16"/>
                <w:szCs w:val="16"/>
                <w:lang w:eastAsia="es-PE"/>
              </w:rPr>
              <w:t>Allocation</w:t>
            </w:r>
            <w:proofErr w:type="spellEnd"/>
            <w:r w:rsidRPr="009C7E9A">
              <w:rPr>
                <w:rFonts w:ascii="Calibri" w:eastAsia="Times New Roman" w:hAnsi="Calibri" w:cs="Calibri"/>
                <w:sz w:val="16"/>
                <w:szCs w:val="16"/>
                <w:lang w:eastAsia="es-PE"/>
              </w:rPr>
              <w:t xml:space="preserve"> (SAA) y revisar el marco de apetito y presupuesto de riesgo.</w:t>
            </w:r>
          </w:p>
          <w:p w14:paraId="265876E8"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-Aprobar planes de acción, cuando corresponda, relacionados al proceso de escalamiento de alertas dentro del marco de apetito de riesgo.</w:t>
            </w:r>
          </w:p>
          <w:p w14:paraId="2AD65DDA"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-El Comité de Inversiones podrá autorizar excepciones al cumplimiento de los limites internos por clases de activos, siempre y cuando se encuentren comprendidos dentro de los niveles de apetito de riesgo aprobado por Directorio o regulación.</w:t>
            </w:r>
          </w:p>
          <w:p w14:paraId="7CDB372E"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-Presentar los informes de riesgos, y las opiniones que pueden haberse expresado en los Comités de Riesgos.</w:t>
            </w:r>
          </w:p>
          <w:p w14:paraId="00E0C86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-Monitorear el cumplimiento de la política de rebalanceo aplicable a cada tipo de fondo.</w:t>
            </w:r>
          </w:p>
          <w:p w14:paraId="63C8C82F" w14:textId="4A744E5D"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sz w:val="16"/>
                <w:szCs w:val="16"/>
                <w:lang w:eastAsia="es-PE"/>
              </w:rPr>
              <w:t>-Aprobar los procedimientos para la evaluación y monitoreo de los costos, gastos y comisiones generados por las inversiones realizadas en los instrumentos u operaciones de inversión, incluyendo la devolución de impuestos pagados en el exterior por la inversión de las Carteras Administradas y los costos detallados asociados a la inversión en vehículos indirectos.</w:t>
            </w:r>
          </w:p>
        </w:tc>
      </w:tr>
      <w:tr w:rsidR="00350879" w:rsidRPr="00350879" w14:paraId="284651F5" w14:textId="77777777" w:rsidTr="00F11525">
        <w:trPr>
          <w:trHeight w:val="250"/>
        </w:trPr>
        <w:tc>
          <w:tcPr>
            <w:tcW w:w="9895" w:type="dxa"/>
            <w:gridSpan w:val="10"/>
            <w:tcBorders>
              <w:top w:val="nil"/>
              <w:left w:val="nil"/>
              <w:bottom w:val="nil"/>
              <w:right w:val="nil"/>
            </w:tcBorders>
            <w:shd w:val="clear" w:color="000000" w:fill="FFFFFF"/>
            <w:noWrap/>
            <w:vAlign w:val="center"/>
            <w:hideMark/>
          </w:tcPr>
          <w:p w14:paraId="347FDCC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r>
      <w:tr w:rsidR="00317098" w:rsidRPr="00350879" w14:paraId="20ECE291" w14:textId="77777777" w:rsidTr="00BD3B26">
        <w:trPr>
          <w:trHeight w:val="300"/>
        </w:trPr>
        <w:tc>
          <w:tcPr>
            <w:tcW w:w="196" w:type="dxa"/>
            <w:tcBorders>
              <w:top w:val="nil"/>
              <w:left w:val="nil"/>
              <w:bottom w:val="nil"/>
              <w:right w:val="nil"/>
            </w:tcBorders>
            <w:shd w:val="clear" w:color="000000" w:fill="FFFFFF"/>
            <w:noWrap/>
            <w:vAlign w:val="bottom"/>
            <w:hideMark/>
          </w:tcPr>
          <w:p w14:paraId="2CC2E14C"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49EA6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6DB2BB1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CC1939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946EC88"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774677CB" w14:textId="77777777" w:rsidTr="00BD3B26">
        <w:trPr>
          <w:trHeight w:val="420"/>
        </w:trPr>
        <w:tc>
          <w:tcPr>
            <w:tcW w:w="196" w:type="dxa"/>
            <w:tcBorders>
              <w:top w:val="nil"/>
              <w:left w:val="nil"/>
              <w:bottom w:val="nil"/>
              <w:right w:val="nil"/>
            </w:tcBorders>
            <w:shd w:val="clear" w:color="000000" w:fill="FFFFFF"/>
            <w:noWrap/>
            <w:vAlign w:val="bottom"/>
            <w:hideMark/>
          </w:tcPr>
          <w:p w14:paraId="3ABCA141"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71830683"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4A9DCFD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233C504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5BE0FC26"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613632C4"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317098" w:rsidRPr="00350879" w14:paraId="242310FE" w14:textId="77777777" w:rsidTr="00BD3B26">
        <w:trPr>
          <w:trHeight w:val="300"/>
        </w:trPr>
        <w:tc>
          <w:tcPr>
            <w:tcW w:w="196" w:type="dxa"/>
            <w:tcBorders>
              <w:top w:val="nil"/>
              <w:left w:val="nil"/>
              <w:bottom w:val="nil"/>
              <w:right w:val="nil"/>
            </w:tcBorders>
            <w:shd w:val="clear" w:color="000000" w:fill="FFFFFF"/>
            <w:noWrap/>
            <w:vAlign w:val="bottom"/>
            <w:hideMark/>
          </w:tcPr>
          <w:p w14:paraId="656EAAD8" w14:textId="77777777" w:rsidR="00317098" w:rsidRPr="00350879" w:rsidRDefault="00317098" w:rsidP="00317098">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619D034C" w14:textId="3A0E0F8B" w:rsidR="00317098" w:rsidRPr="00350879" w:rsidRDefault="00317098" w:rsidP="00317098">
            <w:pPr>
              <w:spacing w:after="0" w:line="240" w:lineRule="auto"/>
              <w:rPr>
                <w:rFonts w:ascii="Calibri" w:eastAsia="Times New Roman" w:hAnsi="Calibri" w:cs="Calibri"/>
                <w:color w:val="000000"/>
                <w:sz w:val="16"/>
                <w:szCs w:val="16"/>
                <w:lang w:eastAsia="es-PE"/>
              </w:rPr>
            </w:pPr>
            <w:r w:rsidRPr="00F11DAC">
              <w:rPr>
                <w:rFonts w:ascii="Calibri" w:eastAsia="Times New Roman" w:hAnsi="Calibri" w:cs="Calibri"/>
                <w:color w:val="000000"/>
                <w:sz w:val="16"/>
                <w:szCs w:val="16"/>
                <w:lang w:eastAsia="es-PE"/>
              </w:rPr>
              <w:t xml:space="preserve">Mario Ignacio </w:t>
            </w:r>
            <w:r w:rsidR="00F76611">
              <w:rPr>
                <w:rFonts w:ascii="Calibri" w:eastAsia="Times New Roman" w:hAnsi="Calibri" w:cs="Calibri"/>
                <w:color w:val="000000"/>
                <w:sz w:val="16"/>
                <w:szCs w:val="16"/>
                <w:lang w:eastAsia="es-PE"/>
              </w:rPr>
              <w:t>Á</w:t>
            </w:r>
            <w:r w:rsidRPr="00F11DAC">
              <w:rPr>
                <w:rFonts w:ascii="Calibri" w:eastAsia="Times New Roman" w:hAnsi="Calibri" w:cs="Calibri"/>
                <w:color w:val="000000"/>
                <w:sz w:val="16"/>
                <w:szCs w:val="16"/>
                <w:lang w:eastAsia="es-PE"/>
              </w:rPr>
              <w:t>lvarez Avendaño</w:t>
            </w:r>
          </w:p>
        </w:tc>
        <w:tc>
          <w:tcPr>
            <w:tcW w:w="1921" w:type="dxa"/>
            <w:tcBorders>
              <w:top w:val="nil"/>
              <w:left w:val="nil"/>
              <w:bottom w:val="single" w:sz="4" w:space="0" w:color="auto"/>
              <w:right w:val="single" w:sz="4" w:space="0" w:color="auto"/>
            </w:tcBorders>
            <w:shd w:val="clear" w:color="000000" w:fill="EBF1DE"/>
            <w:vAlign w:val="center"/>
            <w:hideMark/>
          </w:tcPr>
          <w:p w14:paraId="5F946ADA" w14:textId="456DF083" w:rsidR="00317098" w:rsidRPr="00350879" w:rsidRDefault="00317098" w:rsidP="00317098">
            <w:pPr>
              <w:spacing w:after="0" w:line="240" w:lineRule="auto"/>
              <w:rPr>
                <w:rFonts w:ascii="Calibri" w:eastAsia="Times New Roman" w:hAnsi="Calibri" w:cs="Calibri"/>
                <w:color w:val="000000"/>
                <w:sz w:val="16"/>
                <w:szCs w:val="16"/>
                <w:lang w:eastAsia="es-PE"/>
              </w:rPr>
            </w:pPr>
            <w:r w:rsidRPr="00F11DAC">
              <w:rPr>
                <w:rFonts w:ascii="Calibri" w:eastAsia="Times New Roman" w:hAnsi="Calibri" w:cs="Calibri"/>
                <w:color w:val="000000"/>
                <w:sz w:val="16"/>
                <w:szCs w:val="16"/>
                <w:lang w:eastAsia="es-PE"/>
              </w:rPr>
              <w:t>24/09/2015</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5BD40AC8" w14:textId="25B09CAC" w:rsidR="00317098" w:rsidRPr="00350879" w:rsidRDefault="00317098" w:rsidP="00317098">
            <w:pPr>
              <w:spacing w:after="0" w:line="240" w:lineRule="auto"/>
              <w:rPr>
                <w:rFonts w:ascii="Calibri" w:eastAsia="Times New Roman" w:hAnsi="Calibri" w:cs="Calibri"/>
                <w:color w:val="000000"/>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vAlign w:val="bottom"/>
            <w:hideMark/>
          </w:tcPr>
          <w:p w14:paraId="70AE6F79" w14:textId="0CFDDFC9" w:rsidR="00317098" w:rsidRPr="00350879" w:rsidRDefault="00317098" w:rsidP="00317098">
            <w:pPr>
              <w:spacing w:after="0" w:line="240" w:lineRule="auto"/>
              <w:jc w:val="center"/>
              <w:rPr>
                <w:rFonts w:ascii="Calibri" w:eastAsia="Times New Roman" w:hAnsi="Calibri" w:cs="Calibri"/>
                <w:color w:val="FF0000"/>
                <w:sz w:val="16"/>
                <w:szCs w:val="16"/>
                <w:lang w:eastAsia="es-PE"/>
              </w:rPr>
            </w:pPr>
            <w:r w:rsidRPr="00F11DAC">
              <w:rPr>
                <w:rFonts w:ascii="Calibri" w:eastAsia="Times New Roman" w:hAnsi="Calibri" w:cs="Calibri"/>
                <w:color w:val="000000"/>
                <w:sz w:val="16"/>
                <w:szCs w:val="16"/>
                <w:lang w:eastAsia="es-PE"/>
              </w:rPr>
              <w:t>Presidente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6EF76679" w14:textId="7BBCCE5B" w:rsidR="00317098" w:rsidRPr="00EB1794" w:rsidRDefault="00317098" w:rsidP="00317098">
            <w:pPr>
              <w:spacing w:after="0" w:line="240" w:lineRule="auto"/>
              <w:jc w:val="center"/>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Director independiente</w:t>
            </w:r>
          </w:p>
        </w:tc>
      </w:tr>
      <w:tr w:rsidR="00317098" w:rsidRPr="00350879" w14:paraId="46A239F4" w14:textId="77777777" w:rsidTr="00BD3B26">
        <w:trPr>
          <w:trHeight w:val="250"/>
        </w:trPr>
        <w:tc>
          <w:tcPr>
            <w:tcW w:w="196" w:type="dxa"/>
            <w:tcBorders>
              <w:top w:val="nil"/>
              <w:left w:val="nil"/>
              <w:bottom w:val="nil"/>
              <w:right w:val="nil"/>
            </w:tcBorders>
            <w:shd w:val="clear" w:color="000000" w:fill="FFFFFF"/>
            <w:noWrap/>
            <w:vAlign w:val="bottom"/>
          </w:tcPr>
          <w:p w14:paraId="15A31BC6" w14:textId="77777777" w:rsidR="00317098" w:rsidRPr="00350879" w:rsidRDefault="00317098" w:rsidP="00317098">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2D6D2A5C" w14:textId="027ECCCF"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Raúl German </w:t>
            </w:r>
            <w:proofErr w:type="spellStart"/>
            <w:r w:rsidRPr="00577D61">
              <w:rPr>
                <w:rFonts w:ascii="Calibri" w:eastAsia="Times New Roman" w:hAnsi="Calibri" w:cs="Calibri"/>
                <w:color w:val="000000" w:themeColor="text1"/>
                <w:sz w:val="16"/>
                <w:szCs w:val="16"/>
                <w:lang w:eastAsia="es-PE"/>
              </w:rPr>
              <w:t>Pinglo</w:t>
            </w:r>
            <w:proofErr w:type="spellEnd"/>
            <w:r w:rsidRPr="00577D61">
              <w:rPr>
                <w:rFonts w:ascii="Calibri" w:eastAsia="Times New Roman" w:hAnsi="Calibri" w:cs="Calibri"/>
                <w:color w:val="000000" w:themeColor="text1"/>
                <w:sz w:val="16"/>
                <w:szCs w:val="16"/>
                <w:lang w:eastAsia="es-PE"/>
              </w:rPr>
              <w:t xml:space="preserve"> Meza Cuadra</w:t>
            </w:r>
          </w:p>
        </w:tc>
        <w:tc>
          <w:tcPr>
            <w:tcW w:w="1921" w:type="dxa"/>
            <w:tcBorders>
              <w:top w:val="nil"/>
              <w:left w:val="nil"/>
              <w:bottom w:val="single" w:sz="4" w:space="0" w:color="auto"/>
              <w:right w:val="single" w:sz="4" w:space="0" w:color="auto"/>
            </w:tcBorders>
            <w:shd w:val="clear" w:color="000000" w:fill="EBF1DE"/>
            <w:vAlign w:val="center"/>
          </w:tcPr>
          <w:p w14:paraId="4FFEE470" w14:textId="5583C9CF"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008E6E70" w14:textId="77777777"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732F78AE" w14:textId="3BE1F546"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F359BAD" w14:textId="401A7EFB"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Riesgos</w:t>
            </w:r>
          </w:p>
        </w:tc>
      </w:tr>
      <w:tr w:rsidR="00317098" w:rsidRPr="00350879" w14:paraId="3E27E873" w14:textId="77777777" w:rsidTr="00BD3B26">
        <w:trPr>
          <w:trHeight w:val="250"/>
        </w:trPr>
        <w:tc>
          <w:tcPr>
            <w:tcW w:w="196" w:type="dxa"/>
            <w:tcBorders>
              <w:top w:val="nil"/>
              <w:left w:val="nil"/>
              <w:bottom w:val="nil"/>
              <w:right w:val="nil"/>
            </w:tcBorders>
            <w:shd w:val="clear" w:color="000000" w:fill="FFFFFF"/>
            <w:noWrap/>
            <w:vAlign w:val="bottom"/>
          </w:tcPr>
          <w:p w14:paraId="16A4F3C8" w14:textId="77777777" w:rsidR="00317098" w:rsidRPr="00350879" w:rsidRDefault="00317098" w:rsidP="00317098">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51290B2F" w14:textId="668B5E90"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Renzo Pablo Massa </w:t>
            </w:r>
            <w:proofErr w:type="spellStart"/>
            <w:r w:rsidRPr="00577D61">
              <w:rPr>
                <w:rFonts w:ascii="Calibri" w:eastAsia="Times New Roman" w:hAnsi="Calibri" w:cs="Calibri"/>
                <w:color w:val="000000" w:themeColor="text1"/>
                <w:sz w:val="16"/>
                <w:szCs w:val="16"/>
                <w:lang w:eastAsia="es-PE"/>
              </w:rPr>
              <w:t>Peschiera</w:t>
            </w:r>
            <w:proofErr w:type="spellEnd"/>
            <w:r w:rsidRPr="00577D61">
              <w:rPr>
                <w:rFonts w:ascii="Calibri" w:eastAsia="Times New Roman" w:hAnsi="Calibri" w:cs="Calibri"/>
                <w:color w:val="000000" w:themeColor="text1"/>
                <w:sz w:val="16"/>
                <w:szCs w:val="16"/>
                <w:lang w:eastAsia="es-PE"/>
              </w:rPr>
              <w:t xml:space="preserve">  </w:t>
            </w:r>
          </w:p>
        </w:tc>
        <w:tc>
          <w:tcPr>
            <w:tcW w:w="1921" w:type="dxa"/>
            <w:tcBorders>
              <w:top w:val="nil"/>
              <w:left w:val="nil"/>
              <w:bottom w:val="single" w:sz="4" w:space="0" w:color="auto"/>
              <w:right w:val="single" w:sz="4" w:space="0" w:color="auto"/>
            </w:tcBorders>
            <w:shd w:val="clear" w:color="000000" w:fill="EBF1DE"/>
            <w:vAlign w:val="center"/>
          </w:tcPr>
          <w:p w14:paraId="2E9EE783" w14:textId="0BB795E1"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21/03/2014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21245379" w14:textId="7ABDB7C6" w:rsidR="00317098" w:rsidRPr="00577D61" w:rsidRDefault="00624D67"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31/03/2023</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09A31C5B" w14:textId="1CFD8ADE"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518388E7" w14:textId="55DB3628"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Renta Fija</w:t>
            </w:r>
          </w:p>
        </w:tc>
      </w:tr>
      <w:tr w:rsidR="00624D67" w:rsidRPr="00350879" w14:paraId="3D777D4F" w14:textId="77777777" w:rsidTr="00BD3B26">
        <w:trPr>
          <w:trHeight w:val="250"/>
        </w:trPr>
        <w:tc>
          <w:tcPr>
            <w:tcW w:w="196" w:type="dxa"/>
            <w:tcBorders>
              <w:top w:val="nil"/>
              <w:left w:val="nil"/>
              <w:bottom w:val="nil"/>
              <w:right w:val="nil"/>
            </w:tcBorders>
            <w:shd w:val="clear" w:color="000000" w:fill="FFFFFF"/>
            <w:noWrap/>
            <w:vAlign w:val="bottom"/>
          </w:tcPr>
          <w:p w14:paraId="0A951495" w14:textId="77777777" w:rsidR="00624D67" w:rsidRPr="00350879" w:rsidRDefault="00624D67" w:rsidP="00317098">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144343AA" w14:textId="1070DC92" w:rsidR="00624D67" w:rsidRPr="00577D61" w:rsidRDefault="00624D67"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Carlo León Ganoza </w:t>
            </w:r>
          </w:p>
        </w:tc>
        <w:tc>
          <w:tcPr>
            <w:tcW w:w="1921" w:type="dxa"/>
            <w:tcBorders>
              <w:top w:val="nil"/>
              <w:left w:val="nil"/>
              <w:bottom w:val="single" w:sz="4" w:space="0" w:color="auto"/>
              <w:right w:val="single" w:sz="4" w:space="0" w:color="auto"/>
            </w:tcBorders>
            <w:shd w:val="clear" w:color="000000" w:fill="EBF1DE"/>
            <w:vAlign w:val="center"/>
          </w:tcPr>
          <w:p w14:paraId="738798B0" w14:textId="163E7EF0" w:rsidR="00624D67" w:rsidRPr="00577D61" w:rsidRDefault="00624D67"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05/07</w:t>
            </w:r>
            <w:r w:rsidR="00781F94" w:rsidRPr="00577D61">
              <w:rPr>
                <w:rFonts w:ascii="Calibri" w:eastAsia="Times New Roman" w:hAnsi="Calibri" w:cs="Calibri"/>
                <w:color w:val="000000" w:themeColor="text1"/>
                <w:sz w:val="16"/>
                <w:szCs w:val="16"/>
                <w:lang w:eastAsia="es-PE"/>
              </w:rPr>
              <w:t>/</w:t>
            </w:r>
            <w:r w:rsidRPr="00577D61">
              <w:rPr>
                <w:rFonts w:ascii="Calibri" w:eastAsia="Times New Roman" w:hAnsi="Calibri" w:cs="Calibri"/>
                <w:color w:val="000000" w:themeColor="text1"/>
                <w:sz w:val="16"/>
                <w:szCs w:val="16"/>
                <w:lang w:eastAsia="es-PE"/>
              </w:rPr>
              <w:t>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F9802A" w14:textId="77777777" w:rsidR="00624D67" w:rsidRPr="00577D61" w:rsidRDefault="00624D67" w:rsidP="00317098">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05B69837" w14:textId="2250AEF0" w:rsidR="00624D67" w:rsidRPr="00577D61" w:rsidRDefault="00624D67"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48FA17FF" w14:textId="557DA78A" w:rsidR="00624D67" w:rsidRPr="00577D61" w:rsidRDefault="00624D67"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Renta Fija</w:t>
            </w:r>
          </w:p>
        </w:tc>
      </w:tr>
      <w:tr w:rsidR="00317098" w:rsidRPr="00350879" w14:paraId="10C34A38" w14:textId="77777777" w:rsidTr="00BD3B26">
        <w:trPr>
          <w:trHeight w:val="250"/>
        </w:trPr>
        <w:tc>
          <w:tcPr>
            <w:tcW w:w="196" w:type="dxa"/>
            <w:tcBorders>
              <w:top w:val="nil"/>
              <w:left w:val="nil"/>
              <w:bottom w:val="nil"/>
              <w:right w:val="nil"/>
            </w:tcBorders>
            <w:shd w:val="clear" w:color="000000" w:fill="FFFFFF"/>
            <w:noWrap/>
            <w:vAlign w:val="bottom"/>
          </w:tcPr>
          <w:p w14:paraId="4F33904C" w14:textId="77777777" w:rsidR="00317098" w:rsidRPr="00350879" w:rsidRDefault="00317098" w:rsidP="00317098">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0833A415" w14:textId="45C52DFB"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Daniela </w:t>
            </w:r>
            <w:proofErr w:type="spellStart"/>
            <w:r w:rsidRPr="00577D61">
              <w:rPr>
                <w:rFonts w:ascii="Calibri" w:eastAsia="Times New Roman" w:hAnsi="Calibri" w:cs="Calibri"/>
                <w:color w:val="000000" w:themeColor="text1"/>
                <w:sz w:val="16"/>
                <w:szCs w:val="16"/>
                <w:lang w:eastAsia="es-PE"/>
              </w:rPr>
              <w:t>Door</w:t>
            </w:r>
            <w:proofErr w:type="spellEnd"/>
            <w:r w:rsidRPr="00577D61">
              <w:rPr>
                <w:rFonts w:ascii="Calibri" w:eastAsia="Times New Roman" w:hAnsi="Calibri" w:cs="Calibri"/>
                <w:color w:val="000000" w:themeColor="text1"/>
                <w:sz w:val="16"/>
                <w:szCs w:val="16"/>
                <w:lang w:eastAsia="es-PE"/>
              </w:rPr>
              <w:t xml:space="preserve"> </w:t>
            </w:r>
            <w:proofErr w:type="spellStart"/>
            <w:r w:rsidRPr="00577D61">
              <w:rPr>
                <w:rFonts w:ascii="Calibri" w:eastAsia="Times New Roman" w:hAnsi="Calibri" w:cs="Calibri"/>
                <w:color w:val="000000" w:themeColor="text1"/>
                <w:sz w:val="16"/>
                <w:szCs w:val="16"/>
                <w:lang w:eastAsia="es-PE"/>
              </w:rPr>
              <w:t>Osele</w:t>
            </w:r>
            <w:proofErr w:type="spellEnd"/>
            <w:r w:rsidRPr="00577D61">
              <w:rPr>
                <w:rFonts w:ascii="Calibri" w:eastAsia="Times New Roman" w:hAnsi="Calibri" w:cs="Calibri"/>
                <w:color w:val="000000" w:themeColor="text1"/>
                <w:sz w:val="16"/>
                <w:szCs w:val="16"/>
                <w:lang w:eastAsia="es-PE"/>
              </w:rPr>
              <w:t xml:space="preserve">  </w:t>
            </w:r>
          </w:p>
        </w:tc>
        <w:tc>
          <w:tcPr>
            <w:tcW w:w="1921" w:type="dxa"/>
            <w:tcBorders>
              <w:top w:val="nil"/>
              <w:left w:val="nil"/>
              <w:bottom w:val="single" w:sz="4" w:space="0" w:color="auto"/>
              <w:right w:val="single" w:sz="4" w:space="0" w:color="auto"/>
            </w:tcBorders>
            <w:shd w:val="clear" w:color="000000" w:fill="EBF1DE"/>
            <w:vAlign w:val="center"/>
          </w:tcPr>
          <w:p w14:paraId="402A5F65" w14:textId="3881CD07"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19/03/2013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49A6E26" w14:textId="77777777"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3807415" w14:textId="66A34D06"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11F22006" w14:textId="7E60B416"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Alternativos y Análisis</w:t>
            </w:r>
          </w:p>
        </w:tc>
      </w:tr>
      <w:tr w:rsidR="00317098" w:rsidRPr="00350879" w14:paraId="72903C1D" w14:textId="77777777" w:rsidTr="00BD3B26">
        <w:trPr>
          <w:trHeight w:val="250"/>
        </w:trPr>
        <w:tc>
          <w:tcPr>
            <w:tcW w:w="196" w:type="dxa"/>
            <w:tcBorders>
              <w:top w:val="nil"/>
              <w:left w:val="nil"/>
              <w:bottom w:val="nil"/>
              <w:right w:val="nil"/>
            </w:tcBorders>
            <w:shd w:val="clear" w:color="000000" w:fill="FFFFFF"/>
            <w:noWrap/>
            <w:vAlign w:val="bottom"/>
          </w:tcPr>
          <w:p w14:paraId="01470832" w14:textId="77777777" w:rsidR="00317098" w:rsidRPr="00350879" w:rsidRDefault="00317098" w:rsidP="00317098">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1D122868" w14:textId="21CEC3F6"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Renzo Piero Ricci </w:t>
            </w:r>
            <w:proofErr w:type="spellStart"/>
            <w:r w:rsidRPr="00577D61">
              <w:rPr>
                <w:rFonts w:ascii="Calibri" w:eastAsia="Times New Roman" w:hAnsi="Calibri" w:cs="Calibri"/>
                <w:color w:val="000000" w:themeColor="text1"/>
                <w:sz w:val="16"/>
                <w:szCs w:val="16"/>
                <w:lang w:eastAsia="es-PE"/>
              </w:rPr>
              <w:t>Cocchella</w:t>
            </w:r>
            <w:proofErr w:type="spellEnd"/>
          </w:p>
        </w:tc>
        <w:tc>
          <w:tcPr>
            <w:tcW w:w="1921" w:type="dxa"/>
            <w:tcBorders>
              <w:top w:val="nil"/>
              <w:left w:val="nil"/>
              <w:bottom w:val="single" w:sz="4" w:space="0" w:color="auto"/>
              <w:right w:val="single" w:sz="4" w:space="0" w:color="auto"/>
            </w:tcBorders>
            <w:shd w:val="clear" w:color="000000" w:fill="EBF1DE"/>
            <w:vAlign w:val="center"/>
          </w:tcPr>
          <w:p w14:paraId="5CA4D7C5" w14:textId="1440739C" w:rsidR="00317098" w:rsidRPr="00577D61" w:rsidRDefault="00317098"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30/03/2012</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AF67DE4" w14:textId="4C396D06" w:rsidR="00317098" w:rsidRPr="00577D61" w:rsidRDefault="004B2CA0" w:rsidP="00317098">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31/03/2023</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1D486368" w14:textId="079FE6D7"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D1A3C82" w14:textId="215D1275" w:rsidR="00317098" w:rsidRPr="00577D61" w:rsidRDefault="00317098" w:rsidP="00317098">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General</w:t>
            </w:r>
          </w:p>
        </w:tc>
      </w:tr>
      <w:tr w:rsidR="004B2CA0" w:rsidRPr="00350879" w14:paraId="579695B4" w14:textId="77777777" w:rsidTr="00BD3B26">
        <w:trPr>
          <w:trHeight w:val="250"/>
        </w:trPr>
        <w:tc>
          <w:tcPr>
            <w:tcW w:w="196" w:type="dxa"/>
            <w:tcBorders>
              <w:top w:val="nil"/>
              <w:left w:val="nil"/>
              <w:bottom w:val="nil"/>
              <w:right w:val="nil"/>
            </w:tcBorders>
            <w:shd w:val="clear" w:color="000000" w:fill="FFFFFF"/>
            <w:noWrap/>
            <w:vAlign w:val="bottom"/>
          </w:tcPr>
          <w:p w14:paraId="12865EE2" w14:textId="77777777" w:rsidR="004B2CA0" w:rsidRPr="00350879" w:rsidRDefault="004B2CA0" w:rsidP="004B2CA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7F2C30B" w14:textId="79E9D458"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473146A7" w14:textId="4B0780ED"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48703D59" w14:textId="77777777"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14EE6084" w14:textId="05B1DE3E"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17F971FC" w14:textId="13A7ADE5"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General</w:t>
            </w:r>
          </w:p>
        </w:tc>
      </w:tr>
      <w:tr w:rsidR="004B2CA0" w:rsidRPr="00350879" w14:paraId="2E4BD87B" w14:textId="77777777" w:rsidTr="00BD3B26">
        <w:trPr>
          <w:trHeight w:val="250"/>
        </w:trPr>
        <w:tc>
          <w:tcPr>
            <w:tcW w:w="196" w:type="dxa"/>
            <w:tcBorders>
              <w:top w:val="nil"/>
              <w:left w:val="nil"/>
              <w:bottom w:val="nil"/>
              <w:right w:val="nil"/>
            </w:tcBorders>
            <w:shd w:val="clear" w:color="000000" w:fill="FFFFFF"/>
            <w:noWrap/>
            <w:vAlign w:val="bottom"/>
          </w:tcPr>
          <w:p w14:paraId="45364EA9" w14:textId="77777777" w:rsidR="004B2CA0" w:rsidRPr="00350879" w:rsidRDefault="004B2CA0" w:rsidP="004B2CA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F747346" w14:textId="096E8498"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Juan Pablo Noziglia Montjoy</w:t>
            </w:r>
          </w:p>
        </w:tc>
        <w:tc>
          <w:tcPr>
            <w:tcW w:w="1921" w:type="dxa"/>
            <w:tcBorders>
              <w:top w:val="nil"/>
              <w:left w:val="nil"/>
              <w:bottom w:val="single" w:sz="4" w:space="0" w:color="auto"/>
              <w:right w:val="single" w:sz="4" w:space="0" w:color="auto"/>
            </w:tcBorders>
            <w:shd w:val="clear" w:color="000000" w:fill="EBF1DE"/>
            <w:vAlign w:val="center"/>
          </w:tcPr>
          <w:p w14:paraId="41772204" w14:textId="6FE1670D"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260C846" w14:textId="77777777"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EFF096" w14:textId="353B4187"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0ED6517" w14:textId="3BB5B311"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Inversiones</w:t>
            </w:r>
          </w:p>
        </w:tc>
      </w:tr>
      <w:tr w:rsidR="004B2CA0" w:rsidRPr="00350879" w14:paraId="28056D22" w14:textId="77777777" w:rsidTr="00BD3B26">
        <w:trPr>
          <w:trHeight w:val="250"/>
        </w:trPr>
        <w:tc>
          <w:tcPr>
            <w:tcW w:w="196" w:type="dxa"/>
            <w:tcBorders>
              <w:top w:val="nil"/>
              <w:left w:val="nil"/>
              <w:bottom w:val="nil"/>
              <w:right w:val="nil"/>
            </w:tcBorders>
            <w:shd w:val="clear" w:color="000000" w:fill="FFFFFF"/>
            <w:noWrap/>
            <w:vAlign w:val="bottom"/>
          </w:tcPr>
          <w:p w14:paraId="40E3DAAE" w14:textId="77777777" w:rsidR="004B2CA0" w:rsidRPr="00350879" w:rsidRDefault="004B2CA0" w:rsidP="004B2CA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00492EA4" w14:textId="14977F57"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Oscar Gustavo Corpancho Fort</w:t>
            </w:r>
          </w:p>
        </w:tc>
        <w:tc>
          <w:tcPr>
            <w:tcW w:w="1921" w:type="dxa"/>
            <w:tcBorders>
              <w:top w:val="nil"/>
              <w:left w:val="nil"/>
              <w:bottom w:val="single" w:sz="4" w:space="0" w:color="auto"/>
              <w:right w:val="single" w:sz="4" w:space="0" w:color="auto"/>
            </w:tcBorders>
            <w:shd w:val="clear" w:color="000000" w:fill="EBF1DE"/>
            <w:vAlign w:val="center"/>
          </w:tcPr>
          <w:p w14:paraId="128EEC7F" w14:textId="12FCE7E0"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1/11/2017</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0139058" w14:textId="77777777"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9953765" w14:textId="0B5849DB"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4C7B0F43" w14:textId="2FD47711"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Renta Variable</w:t>
            </w:r>
          </w:p>
        </w:tc>
      </w:tr>
      <w:tr w:rsidR="004B2CA0" w:rsidRPr="00350879" w14:paraId="61101685" w14:textId="77777777" w:rsidTr="00BD3B26">
        <w:trPr>
          <w:trHeight w:val="250"/>
        </w:trPr>
        <w:tc>
          <w:tcPr>
            <w:tcW w:w="196" w:type="dxa"/>
            <w:tcBorders>
              <w:top w:val="nil"/>
              <w:left w:val="nil"/>
              <w:bottom w:val="nil"/>
              <w:right w:val="nil"/>
            </w:tcBorders>
            <w:shd w:val="clear" w:color="000000" w:fill="FFFFFF"/>
            <w:noWrap/>
            <w:vAlign w:val="bottom"/>
            <w:hideMark/>
          </w:tcPr>
          <w:p w14:paraId="704F9C70" w14:textId="77777777" w:rsidR="004B2CA0" w:rsidRPr="00350879" w:rsidRDefault="004B2CA0" w:rsidP="004B2CA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39316F6C" w14:textId="487D9919"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Alonso Segura </w:t>
            </w:r>
            <w:proofErr w:type="spellStart"/>
            <w:r w:rsidRPr="00577D61">
              <w:rPr>
                <w:rFonts w:ascii="Calibri" w:eastAsia="Times New Roman" w:hAnsi="Calibri" w:cs="Calibri"/>
                <w:color w:val="000000" w:themeColor="text1"/>
                <w:sz w:val="16"/>
                <w:szCs w:val="16"/>
                <w:lang w:eastAsia="es-PE"/>
              </w:rPr>
              <w:t>Vasi</w:t>
            </w:r>
            <w:proofErr w:type="spellEnd"/>
          </w:p>
        </w:tc>
        <w:tc>
          <w:tcPr>
            <w:tcW w:w="1921" w:type="dxa"/>
            <w:tcBorders>
              <w:top w:val="nil"/>
              <w:left w:val="nil"/>
              <w:bottom w:val="single" w:sz="4" w:space="0" w:color="auto"/>
              <w:right w:val="single" w:sz="4" w:space="0" w:color="auto"/>
            </w:tcBorders>
            <w:shd w:val="clear" w:color="000000" w:fill="EBF1DE"/>
            <w:vAlign w:val="center"/>
            <w:hideMark/>
          </w:tcPr>
          <w:p w14:paraId="388C4A17" w14:textId="32D802B8" w:rsidR="004B2CA0" w:rsidRPr="00577D61" w:rsidRDefault="004B2CA0"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26/05/2020</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7903359C" w14:textId="1E327FE5" w:rsidR="004B2CA0" w:rsidRPr="00577D61" w:rsidRDefault="00781F94" w:rsidP="004B2CA0">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31/05/2023</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0B2C9909" w14:textId="142FC49C"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48F7AF62" w14:textId="77777777" w:rsidR="004B2CA0" w:rsidRPr="00577D61" w:rsidRDefault="004B2CA0" w:rsidP="004B2CA0">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781F94" w:rsidRPr="00350879" w14:paraId="49B2B7DD" w14:textId="77777777" w:rsidTr="00BD3B26">
        <w:trPr>
          <w:trHeight w:val="250"/>
        </w:trPr>
        <w:tc>
          <w:tcPr>
            <w:tcW w:w="196" w:type="dxa"/>
            <w:tcBorders>
              <w:top w:val="nil"/>
              <w:left w:val="nil"/>
              <w:bottom w:val="nil"/>
              <w:right w:val="nil"/>
            </w:tcBorders>
            <w:shd w:val="clear" w:color="000000" w:fill="FFFFFF"/>
            <w:noWrap/>
            <w:vAlign w:val="bottom"/>
          </w:tcPr>
          <w:p w14:paraId="69B512D8" w14:textId="77777777" w:rsidR="00781F94" w:rsidRPr="00350879" w:rsidRDefault="00781F94" w:rsidP="00781F94">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62A0E8F8" w14:textId="0AE0F688"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Gonzalo Camargo Cárdenas</w:t>
            </w:r>
          </w:p>
        </w:tc>
        <w:tc>
          <w:tcPr>
            <w:tcW w:w="1921" w:type="dxa"/>
            <w:tcBorders>
              <w:top w:val="nil"/>
              <w:left w:val="nil"/>
              <w:bottom w:val="single" w:sz="4" w:space="0" w:color="auto"/>
              <w:right w:val="single" w:sz="4" w:space="0" w:color="auto"/>
            </w:tcBorders>
            <w:shd w:val="clear" w:color="000000" w:fill="EBF1DE"/>
            <w:vAlign w:val="center"/>
          </w:tcPr>
          <w:p w14:paraId="52165FA3" w14:textId="735E6325"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25/08/2020</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F5FDF7C" w14:textId="77777777"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C0D67C5" w14:textId="070E74F0" w:rsidR="00781F94" w:rsidRPr="00577D61" w:rsidRDefault="00781F94" w:rsidP="00781F94">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952D499" w14:textId="50A8BD47" w:rsidR="00781F94" w:rsidRPr="00577D61" w:rsidRDefault="00781F94" w:rsidP="00781F94">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781F94" w:rsidRPr="00781F94" w14:paraId="70B304BF" w14:textId="77777777" w:rsidTr="00BD3B26">
        <w:trPr>
          <w:trHeight w:val="250"/>
        </w:trPr>
        <w:tc>
          <w:tcPr>
            <w:tcW w:w="196" w:type="dxa"/>
            <w:tcBorders>
              <w:top w:val="nil"/>
              <w:left w:val="nil"/>
              <w:bottom w:val="nil"/>
              <w:right w:val="nil"/>
            </w:tcBorders>
            <w:shd w:val="clear" w:color="000000" w:fill="FFFFFF"/>
            <w:noWrap/>
            <w:vAlign w:val="bottom"/>
            <w:hideMark/>
          </w:tcPr>
          <w:p w14:paraId="413CD6F1"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560EA13C" w14:textId="04A1E83F"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proofErr w:type="spellStart"/>
            <w:r w:rsidRPr="00577D61">
              <w:rPr>
                <w:rFonts w:ascii="Calibri" w:eastAsia="Times New Roman" w:hAnsi="Calibri" w:cs="Calibri"/>
                <w:color w:val="000000" w:themeColor="text1"/>
                <w:sz w:val="16"/>
                <w:szCs w:val="16"/>
                <w:lang w:eastAsia="es-PE"/>
              </w:rPr>
              <w:t>Jose</w:t>
            </w:r>
            <w:proofErr w:type="spellEnd"/>
            <w:r w:rsidRPr="00577D61">
              <w:rPr>
                <w:rFonts w:ascii="Calibri" w:eastAsia="Times New Roman" w:hAnsi="Calibri" w:cs="Calibri"/>
                <w:color w:val="000000" w:themeColor="text1"/>
                <w:sz w:val="16"/>
                <w:szCs w:val="16"/>
                <w:lang w:eastAsia="es-PE"/>
              </w:rPr>
              <w:t xml:space="preserve"> </w:t>
            </w:r>
            <w:proofErr w:type="spellStart"/>
            <w:r w:rsidRPr="00577D61">
              <w:rPr>
                <w:rFonts w:ascii="Calibri" w:eastAsia="Times New Roman" w:hAnsi="Calibri" w:cs="Calibri"/>
                <w:color w:val="000000" w:themeColor="text1"/>
                <w:sz w:val="16"/>
                <w:szCs w:val="16"/>
                <w:lang w:eastAsia="es-PE"/>
              </w:rPr>
              <w:t>Goldszmidt</w:t>
            </w:r>
            <w:proofErr w:type="spellEnd"/>
            <w:r w:rsidRPr="00577D61">
              <w:rPr>
                <w:rFonts w:ascii="Calibri" w:eastAsia="Times New Roman" w:hAnsi="Calibri" w:cs="Calibri"/>
                <w:color w:val="000000" w:themeColor="text1"/>
                <w:sz w:val="16"/>
                <w:szCs w:val="16"/>
                <w:lang w:eastAsia="es-PE"/>
              </w:rPr>
              <w:t xml:space="preserve"> </w:t>
            </w:r>
            <w:proofErr w:type="spellStart"/>
            <w:r w:rsidRPr="00577D61">
              <w:rPr>
                <w:rFonts w:ascii="Calibri" w:eastAsia="Times New Roman" w:hAnsi="Calibri" w:cs="Calibri"/>
                <w:color w:val="000000" w:themeColor="text1"/>
                <w:sz w:val="16"/>
                <w:szCs w:val="16"/>
                <w:lang w:eastAsia="es-PE"/>
              </w:rPr>
              <w:t>Biterman</w:t>
            </w:r>
            <w:proofErr w:type="spellEnd"/>
          </w:p>
        </w:tc>
        <w:tc>
          <w:tcPr>
            <w:tcW w:w="1921" w:type="dxa"/>
            <w:tcBorders>
              <w:top w:val="nil"/>
              <w:left w:val="nil"/>
              <w:bottom w:val="single" w:sz="4" w:space="0" w:color="auto"/>
              <w:right w:val="single" w:sz="4" w:space="0" w:color="auto"/>
            </w:tcBorders>
            <w:shd w:val="clear" w:color="000000" w:fill="EBF1DE"/>
            <w:vAlign w:val="center"/>
            <w:hideMark/>
          </w:tcPr>
          <w:p w14:paraId="0A4C51CB" w14:textId="52CC3EFD"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01/06/2023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2CEA87CD" w14:textId="19EEDC75" w:rsidR="00781F94" w:rsidRPr="00577D61" w:rsidRDefault="00781F94" w:rsidP="00781F94">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3C68A002" w14:textId="391B346C" w:rsidR="00781F94" w:rsidRPr="00577D61" w:rsidRDefault="00781F94" w:rsidP="00781F94">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14CF5315" w14:textId="77777777" w:rsidR="00781F94" w:rsidRPr="00577D61" w:rsidRDefault="00781F94" w:rsidP="00781F94">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781F94" w:rsidRPr="00350879" w14:paraId="5B566A9E" w14:textId="77777777" w:rsidTr="00BD3B26">
        <w:trPr>
          <w:trHeight w:val="400"/>
        </w:trPr>
        <w:tc>
          <w:tcPr>
            <w:tcW w:w="196" w:type="dxa"/>
            <w:tcBorders>
              <w:top w:val="nil"/>
              <w:left w:val="nil"/>
              <w:bottom w:val="nil"/>
              <w:right w:val="nil"/>
            </w:tcBorders>
            <w:shd w:val="clear" w:color="000000" w:fill="FFFFFF"/>
            <w:noWrap/>
            <w:vAlign w:val="bottom"/>
            <w:hideMark/>
          </w:tcPr>
          <w:p w14:paraId="1ECA1577"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9A6364B"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w:t>
            </w:r>
            <w:proofErr w:type="gramStart"/>
            <w:r w:rsidRPr="00350879">
              <w:rPr>
                <w:rFonts w:ascii="Arial" w:eastAsia="Times New Roman" w:hAnsi="Arial" w:cs="Arial"/>
                <w:color w:val="000000"/>
                <w:sz w:val="20"/>
                <w:szCs w:val="20"/>
                <w:lang w:eastAsia="es-PE"/>
              </w:rPr>
              <w:t>Directores</w:t>
            </w:r>
            <w:proofErr w:type="gramEnd"/>
            <w:r w:rsidRPr="00350879">
              <w:rPr>
                <w:rFonts w:ascii="Arial" w:eastAsia="Times New Roman" w:hAnsi="Arial" w:cs="Arial"/>
                <w:color w:val="000000"/>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087DC0B4" w14:textId="0364A864" w:rsidR="00781F94" w:rsidRPr="00EB1794" w:rsidRDefault="00781F94" w:rsidP="00781F94">
            <w:pPr>
              <w:spacing w:after="0" w:line="240" w:lineRule="auto"/>
              <w:jc w:val="right"/>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11</w:t>
            </w:r>
          </w:p>
        </w:tc>
      </w:tr>
      <w:tr w:rsidR="00781F94" w:rsidRPr="00350879" w14:paraId="0B974506" w14:textId="77777777" w:rsidTr="00BD3B26">
        <w:trPr>
          <w:trHeight w:val="250"/>
        </w:trPr>
        <w:tc>
          <w:tcPr>
            <w:tcW w:w="196" w:type="dxa"/>
            <w:tcBorders>
              <w:top w:val="nil"/>
              <w:left w:val="nil"/>
              <w:bottom w:val="nil"/>
              <w:right w:val="nil"/>
            </w:tcBorders>
            <w:shd w:val="clear" w:color="000000" w:fill="FFFFFF"/>
            <w:noWrap/>
            <w:vAlign w:val="bottom"/>
            <w:hideMark/>
          </w:tcPr>
          <w:p w14:paraId="1D451634"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E718475"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63F365DA" w14:textId="7FCD83BA" w:rsidR="00781F94" w:rsidRPr="00EB1794" w:rsidRDefault="00781F94" w:rsidP="00781F94">
            <w:pPr>
              <w:spacing w:after="0" w:line="240" w:lineRule="auto"/>
              <w:jc w:val="right"/>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1</w:t>
            </w:r>
            <w:r w:rsidR="00B5014A" w:rsidRPr="00577D61">
              <w:rPr>
                <w:rFonts w:ascii="Calibri" w:eastAsia="Times New Roman" w:hAnsi="Calibri" w:cs="Calibri"/>
                <w:color w:val="000000" w:themeColor="text1"/>
                <w:sz w:val="16"/>
                <w:szCs w:val="16"/>
                <w:lang w:eastAsia="es-PE"/>
              </w:rPr>
              <w:t>3</w:t>
            </w:r>
          </w:p>
        </w:tc>
      </w:tr>
      <w:tr w:rsidR="00781F94" w:rsidRPr="00350879" w14:paraId="3709DCA0" w14:textId="77777777" w:rsidTr="00BD3B26">
        <w:trPr>
          <w:trHeight w:val="165"/>
        </w:trPr>
        <w:tc>
          <w:tcPr>
            <w:tcW w:w="196" w:type="dxa"/>
            <w:tcBorders>
              <w:top w:val="nil"/>
              <w:left w:val="nil"/>
              <w:bottom w:val="nil"/>
              <w:right w:val="nil"/>
            </w:tcBorders>
            <w:shd w:val="clear" w:color="000000" w:fill="FFFFFF"/>
            <w:noWrap/>
            <w:vAlign w:val="bottom"/>
            <w:hideMark/>
          </w:tcPr>
          <w:p w14:paraId="453FAF14"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2C5913"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3B61FA54"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CD4CD8"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6538E039" w14:textId="77777777" w:rsidTr="00BD3B26">
        <w:trPr>
          <w:trHeight w:val="260"/>
        </w:trPr>
        <w:tc>
          <w:tcPr>
            <w:tcW w:w="196" w:type="dxa"/>
            <w:tcBorders>
              <w:top w:val="nil"/>
              <w:left w:val="nil"/>
              <w:bottom w:val="nil"/>
              <w:right w:val="nil"/>
            </w:tcBorders>
            <w:shd w:val="clear" w:color="000000" w:fill="FFFFFF"/>
            <w:noWrap/>
            <w:vAlign w:val="bottom"/>
            <w:hideMark/>
          </w:tcPr>
          <w:p w14:paraId="1061BE05"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10C37BC5" w14:textId="77777777" w:rsidR="00781F94" w:rsidRPr="00350879" w:rsidRDefault="00781F94" w:rsidP="00781F94">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FDFA7"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CE3CE26" w14:textId="4599BA7A" w:rsidR="00781F94" w:rsidRPr="00350879" w:rsidRDefault="00781F94" w:rsidP="00781F94">
            <w:pPr>
              <w:spacing w:after="0" w:line="240" w:lineRule="auto"/>
              <w:jc w:val="center"/>
              <w:rPr>
                <w:rFonts w:ascii="Calibri" w:eastAsia="Times New Roman" w:hAnsi="Calibri" w:cs="Calibri"/>
                <w:color w:val="000000"/>
                <w:sz w:val="20"/>
                <w:szCs w:val="20"/>
                <w:lang w:eastAsia="es-PE"/>
              </w:rPr>
            </w:pPr>
          </w:p>
        </w:tc>
        <w:tc>
          <w:tcPr>
            <w:tcW w:w="243" w:type="dxa"/>
            <w:tcBorders>
              <w:top w:val="nil"/>
              <w:left w:val="nil"/>
              <w:bottom w:val="nil"/>
              <w:right w:val="single" w:sz="4" w:space="0" w:color="auto"/>
            </w:tcBorders>
            <w:shd w:val="clear" w:color="000000" w:fill="FFFFFF"/>
            <w:noWrap/>
            <w:vAlign w:val="bottom"/>
            <w:hideMark/>
          </w:tcPr>
          <w:p w14:paraId="4A6888C2"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2753452F"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091D339" w14:textId="21D00D44" w:rsidR="00781F94" w:rsidRPr="00350879" w:rsidRDefault="00781F94" w:rsidP="00781F94">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3560FF8F"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4E98EC73" w14:textId="77777777" w:rsidTr="00BD3B26">
        <w:trPr>
          <w:trHeight w:val="150"/>
        </w:trPr>
        <w:tc>
          <w:tcPr>
            <w:tcW w:w="196" w:type="dxa"/>
            <w:tcBorders>
              <w:top w:val="nil"/>
              <w:left w:val="nil"/>
              <w:bottom w:val="nil"/>
              <w:right w:val="nil"/>
            </w:tcBorders>
            <w:shd w:val="clear" w:color="000000" w:fill="FFFFFF"/>
            <w:noWrap/>
            <w:vAlign w:val="bottom"/>
            <w:hideMark/>
          </w:tcPr>
          <w:p w14:paraId="51FECB4A"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6C9B4E5" w14:textId="77777777" w:rsidR="00781F94" w:rsidRPr="00350879" w:rsidRDefault="00781F94" w:rsidP="00781F94">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shd w:val="clear" w:color="auto" w:fill="auto"/>
            <w:noWrap/>
            <w:vAlign w:val="bottom"/>
            <w:hideMark/>
          </w:tcPr>
          <w:p w14:paraId="732D74F4" w14:textId="5E6225E1" w:rsidR="00781F94" w:rsidRPr="00350879" w:rsidRDefault="00781F94" w:rsidP="00781F94">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4736" behindDoc="0" locked="0" layoutInCell="1" allowOverlap="1" wp14:anchorId="646D9276" wp14:editId="71A191C5">
                      <wp:simplePos x="0" y="0"/>
                      <wp:positionH relativeFrom="column">
                        <wp:posOffset>0</wp:posOffset>
                      </wp:positionH>
                      <wp:positionV relativeFrom="paragraph">
                        <wp:posOffset>6350</wp:posOffset>
                      </wp:positionV>
                      <wp:extent cx="12700" cy="177800"/>
                      <wp:effectExtent l="0" t="0" r="25400" b="12700"/>
                      <wp:wrapNone/>
                      <wp:docPr id="3" name="Rectángulo 3">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BF0C4A4" id="Rectángulo 3" o:spid="_x0000_s1026" style="position:absolute;margin-left:0;margin-top:.5pt;width:1pt;height:1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781F94" w:rsidRPr="00350879" w14:paraId="5E72D05A"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31ECA496"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75AFFFEF" w14:textId="77777777" w:rsidR="00781F94" w:rsidRPr="00350879" w:rsidRDefault="00781F94" w:rsidP="00781F94">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7BFA5B99"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33CB74DA" w14:textId="77777777" w:rsidTr="00BD3B26">
        <w:trPr>
          <w:trHeight w:val="90"/>
        </w:trPr>
        <w:tc>
          <w:tcPr>
            <w:tcW w:w="196" w:type="dxa"/>
            <w:tcBorders>
              <w:top w:val="nil"/>
              <w:left w:val="nil"/>
              <w:bottom w:val="nil"/>
              <w:right w:val="nil"/>
            </w:tcBorders>
            <w:shd w:val="clear" w:color="000000" w:fill="FFFFFF"/>
            <w:noWrap/>
            <w:vAlign w:val="bottom"/>
            <w:hideMark/>
          </w:tcPr>
          <w:p w14:paraId="5BB3D8F5"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D971F66"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499C5137"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0CE47790"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70A090E1" w14:textId="77777777" w:rsidTr="00BD3B26">
        <w:trPr>
          <w:trHeight w:val="260"/>
        </w:trPr>
        <w:tc>
          <w:tcPr>
            <w:tcW w:w="196" w:type="dxa"/>
            <w:tcBorders>
              <w:top w:val="nil"/>
              <w:left w:val="nil"/>
              <w:bottom w:val="nil"/>
              <w:right w:val="nil"/>
            </w:tcBorders>
            <w:shd w:val="clear" w:color="000000" w:fill="FFFFFF"/>
            <w:noWrap/>
            <w:vAlign w:val="bottom"/>
            <w:hideMark/>
          </w:tcPr>
          <w:p w14:paraId="1F4EA91D"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27BA6FD0" w14:textId="77777777" w:rsidR="00781F94" w:rsidRPr="00350879" w:rsidRDefault="00781F94" w:rsidP="00781F94">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053D5"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87CE0FB" w14:textId="77777777" w:rsidR="00781F94" w:rsidRPr="00350879" w:rsidRDefault="00781F94" w:rsidP="00781F94">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243" w:type="dxa"/>
            <w:tcBorders>
              <w:top w:val="nil"/>
              <w:left w:val="nil"/>
              <w:bottom w:val="nil"/>
              <w:right w:val="single" w:sz="4" w:space="0" w:color="auto"/>
            </w:tcBorders>
            <w:shd w:val="clear" w:color="000000" w:fill="FFFFFF"/>
            <w:noWrap/>
            <w:vAlign w:val="bottom"/>
            <w:hideMark/>
          </w:tcPr>
          <w:p w14:paraId="59CFC56A"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12D5513F"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9A9A48" w14:textId="77777777" w:rsidR="00781F94" w:rsidRPr="00350879" w:rsidRDefault="00781F94" w:rsidP="00781F94">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721D7F11"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608F7F29" w14:textId="77777777" w:rsidTr="00BD3B26">
        <w:trPr>
          <w:trHeight w:val="105"/>
        </w:trPr>
        <w:tc>
          <w:tcPr>
            <w:tcW w:w="196" w:type="dxa"/>
            <w:tcBorders>
              <w:top w:val="nil"/>
              <w:left w:val="nil"/>
              <w:bottom w:val="nil"/>
              <w:right w:val="nil"/>
            </w:tcBorders>
            <w:shd w:val="clear" w:color="000000" w:fill="FFFFFF"/>
            <w:noWrap/>
            <w:vAlign w:val="bottom"/>
            <w:hideMark/>
          </w:tcPr>
          <w:p w14:paraId="5AE3028B" w14:textId="77777777" w:rsidR="00781F94" w:rsidRPr="00350879" w:rsidRDefault="00781F94" w:rsidP="00781F94">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51E5839C" w14:textId="77777777" w:rsidR="00781F94" w:rsidRPr="00350879" w:rsidRDefault="00781F94" w:rsidP="00781F94">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6CF6CDD6"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53438699" w14:textId="77777777" w:rsidR="00781F94" w:rsidRPr="00350879" w:rsidRDefault="00781F94" w:rsidP="00781F94">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781F94" w:rsidRPr="00350879" w14:paraId="3E2F2413" w14:textId="77777777" w:rsidTr="00F11525">
        <w:trPr>
          <w:trHeight w:val="600"/>
        </w:trPr>
        <w:tc>
          <w:tcPr>
            <w:tcW w:w="196" w:type="dxa"/>
            <w:tcBorders>
              <w:top w:val="nil"/>
              <w:left w:val="nil"/>
              <w:bottom w:val="nil"/>
              <w:right w:val="nil"/>
            </w:tcBorders>
            <w:shd w:val="clear" w:color="000000" w:fill="FFFFFF"/>
            <w:noWrap/>
            <w:vAlign w:val="center"/>
            <w:hideMark/>
          </w:tcPr>
          <w:p w14:paraId="7C0E3117" w14:textId="77777777" w:rsidR="00781F94" w:rsidRPr="00350879" w:rsidRDefault="00781F94" w:rsidP="00781F94">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noWrap/>
            <w:vAlign w:val="bottom"/>
            <w:hideMark/>
          </w:tcPr>
          <w:p w14:paraId="477E4075" w14:textId="5CB1705E" w:rsidR="00781F94" w:rsidRPr="00350879" w:rsidRDefault="00781F94" w:rsidP="00781F94">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5760" behindDoc="0" locked="0" layoutInCell="1" allowOverlap="1" wp14:anchorId="5A9894CE" wp14:editId="009E8719">
                      <wp:simplePos x="0" y="0"/>
                      <wp:positionH relativeFrom="column">
                        <wp:posOffset>3606800</wp:posOffset>
                      </wp:positionH>
                      <wp:positionV relativeFrom="paragraph">
                        <wp:posOffset>25400</wp:posOffset>
                      </wp:positionV>
                      <wp:extent cx="12700" cy="31750"/>
                      <wp:effectExtent l="0" t="0" r="25400" b="25400"/>
                      <wp:wrapNone/>
                      <wp:docPr id="1" name="Rectángulo 1">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50F4976" id="Rectángulo 1" o:spid="_x0000_s1026" style="position:absolute;margin-left:284pt;margin-top:2pt;width:1pt;height: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781F94" w:rsidRPr="00350879" w14:paraId="0EE1DDB7" w14:textId="77777777">
              <w:trPr>
                <w:trHeight w:val="600"/>
                <w:tblCellSpacing w:w="0" w:type="dxa"/>
              </w:trPr>
              <w:tc>
                <w:tcPr>
                  <w:tcW w:w="8840" w:type="dxa"/>
                  <w:tcBorders>
                    <w:top w:val="nil"/>
                    <w:left w:val="nil"/>
                    <w:bottom w:val="nil"/>
                    <w:right w:val="nil"/>
                  </w:tcBorders>
                  <w:shd w:val="clear" w:color="000000" w:fill="FFFFFF"/>
                  <w:vAlign w:val="center"/>
                  <w:hideMark/>
                </w:tcPr>
                <w:p w14:paraId="517BA125" w14:textId="77777777" w:rsidR="00781F94" w:rsidRPr="00350879" w:rsidRDefault="00781F94" w:rsidP="00781F94">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0A035DB8" w14:textId="77777777" w:rsidR="00781F94" w:rsidRPr="00350879" w:rsidRDefault="00781F94" w:rsidP="00781F94">
            <w:pPr>
              <w:spacing w:after="0" w:line="240" w:lineRule="auto"/>
              <w:rPr>
                <w:rFonts w:ascii="Calibri" w:eastAsia="Times New Roman" w:hAnsi="Calibri" w:cs="Calibri"/>
                <w:color w:val="000000"/>
                <w:lang w:eastAsia="es-PE"/>
              </w:rPr>
            </w:pPr>
          </w:p>
        </w:tc>
      </w:tr>
      <w:tr w:rsidR="00781F94" w:rsidRPr="00350879" w14:paraId="5B39605E" w14:textId="77777777" w:rsidTr="00F11525">
        <w:trPr>
          <w:trHeight w:val="290"/>
        </w:trPr>
        <w:tc>
          <w:tcPr>
            <w:tcW w:w="196" w:type="dxa"/>
            <w:tcBorders>
              <w:top w:val="nil"/>
              <w:left w:val="nil"/>
              <w:bottom w:val="nil"/>
              <w:right w:val="nil"/>
            </w:tcBorders>
            <w:shd w:val="clear" w:color="000000" w:fill="FFFFFF"/>
            <w:noWrap/>
            <w:vAlign w:val="center"/>
            <w:hideMark/>
          </w:tcPr>
          <w:p w14:paraId="3187CAA4" w14:textId="77777777" w:rsidR="00781F94" w:rsidRPr="00350879" w:rsidRDefault="00781F94" w:rsidP="00781F94">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4175B1F8" w14:textId="77777777" w:rsidR="00781F94" w:rsidRPr="00350879" w:rsidRDefault="00781F94" w:rsidP="00781F94">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781F94" w:rsidRPr="00350879" w14:paraId="75EC1209" w14:textId="77777777" w:rsidTr="00F11525">
        <w:trPr>
          <w:trHeight w:val="250"/>
        </w:trPr>
        <w:tc>
          <w:tcPr>
            <w:tcW w:w="196" w:type="dxa"/>
            <w:tcBorders>
              <w:top w:val="nil"/>
              <w:left w:val="nil"/>
              <w:bottom w:val="nil"/>
              <w:right w:val="nil"/>
            </w:tcBorders>
            <w:shd w:val="clear" w:color="000000" w:fill="FFFFFF"/>
            <w:noWrap/>
            <w:vAlign w:val="center"/>
            <w:hideMark/>
          </w:tcPr>
          <w:p w14:paraId="4332D7DB" w14:textId="77777777" w:rsidR="00781F94" w:rsidRPr="00350879" w:rsidRDefault="00781F94" w:rsidP="00781F94">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lastRenderedPageBreak/>
              <w:t xml:space="preserve"> </w:t>
            </w:r>
          </w:p>
        </w:tc>
        <w:tc>
          <w:tcPr>
            <w:tcW w:w="9699" w:type="dxa"/>
            <w:gridSpan w:val="9"/>
            <w:tcBorders>
              <w:top w:val="nil"/>
              <w:left w:val="nil"/>
              <w:bottom w:val="nil"/>
              <w:right w:val="nil"/>
            </w:tcBorders>
            <w:shd w:val="clear" w:color="auto" w:fill="auto"/>
            <w:vAlign w:val="center"/>
            <w:hideMark/>
          </w:tcPr>
          <w:p w14:paraId="108FC102" w14:textId="77777777" w:rsidR="00781F94" w:rsidRPr="00350879" w:rsidRDefault="00781F94" w:rsidP="00781F94">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341DC154" w14:textId="1B75B1DF" w:rsidR="00317098" w:rsidRPr="00317098" w:rsidRDefault="00317098" w:rsidP="008A4A4C">
      <w:pPr>
        <w:tabs>
          <w:tab w:val="left" w:pos="5060"/>
        </w:tabs>
        <w:rPr>
          <w:rFonts w:ascii="Arial" w:hAnsi="Arial" w:cs="Arial"/>
          <w:sz w:val="20"/>
          <w:szCs w:val="20"/>
        </w:rPr>
      </w:pPr>
    </w:p>
    <w:sectPr w:rsidR="00317098" w:rsidRPr="0031709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66986" w14:textId="77777777" w:rsidR="00C475A1" w:rsidRDefault="00C475A1" w:rsidP="00F15477">
      <w:pPr>
        <w:spacing w:after="0" w:line="240" w:lineRule="auto"/>
      </w:pPr>
      <w:r>
        <w:separator/>
      </w:r>
    </w:p>
  </w:endnote>
  <w:endnote w:type="continuationSeparator" w:id="0">
    <w:p w14:paraId="7C335938" w14:textId="77777777" w:rsidR="00C475A1" w:rsidRDefault="00C475A1" w:rsidP="00F1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08993" w14:textId="77777777" w:rsidR="00C475A1" w:rsidRDefault="00C475A1" w:rsidP="00F15477">
      <w:pPr>
        <w:spacing w:after="0" w:line="240" w:lineRule="auto"/>
      </w:pPr>
      <w:r>
        <w:separator/>
      </w:r>
    </w:p>
  </w:footnote>
  <w:footnote w:type="continuationSeparator" w:id="0">
    <w:p w14:paraId="75180EEC" w14:textId="77777777" w:rsidR="00C475A1" w:rsidRDefault="00C475A1" w:rsidP="00F15477">
      <w:pPr>
        <w:spacing w:after="0" w:line="240" w:lineRule="auto"/>
      </w:pPr>
      <w:r>
        <w:continuationSeparator/>
      </w:r>
    </w:p>
  </w:footnote>
  <w:footnote w:id="1">
    <w:p w14:paraId="461B5EE5" w14:textId="77777777" w:rsidR="009C7E9A" w:rsidRDefault="009C7E9A" w:rsidP="009C7E9A">
      <w:pPr>
        <w:pStyle w:val="Textonotapie"/>
        <w:ind w:left="284" w:right="-257" w:hanging="284"/>
        <w:jc w:val="both"/>
        <w:rPr>
          <w:rFonts w:cs="Times New Roman"/>
        </w:rPr>
      </w:pPr>
      <w:r>
        <w:rPr>
          <w:rStyle w:val="Refdenotaalpie"/>
        </w:rPr>
        <w:footnoteRef/>
      </w:r>
      <w:r>
        <w:rPr>
          <w:rFonts w:cs="Times New Roman"/>
        </w:rPr>
        <w:t xml:space="preserve"> </w:t>
      </w:r>
      <w:r>
        <w:rPr>
          <w:rFonts w:cs="Times New Roman"/>
        </w:rP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2">
    <w:p w14:paraId="5A740B9B" w14:textId="77777777" w:rsidR="006F41EA" w:rsidRDefault="006F41EA" w:rsidP="00F15477">
      <w:pPr>
        <w:pStyle w:val="Textonotapie"/>
        <w:spacing w:line="240" w:lineRule="atLeast"/>
        <w:ind w:left="284" w:right="-115" w:hanging="284"/>
        <w:jc w:val="both"/>
        <w:rPr>
          <w:rFonts w:ascii="Arial" w:hAnsi="Arial" w:cs="Arial"/>
          <w:sz w:val="16"/>
          <w:szCs w:val="16"/>
        </w:rPr>
      </w:pPr>
      <w:r>
        <w:rPr>
          <w:rStyle w:val="Refdenotaalpie"/>
        </w:rPr>
        <w:footnoteRef/>
      </w:r>
      <w:r>
        <w:rPr>
          <w:rFonts w:cs="Times New Roman"/>
        </w:rPr>
        <w:t xml:space="preserve"> </w:t>
      </w:r>
      <w:r>
        <w:rPr>
          <w:rFonts w:cs="Times New Roman"/>
        </w:rP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30EE1A44" w14:textId="77777777" w:rsidR="006F41EA" w:rsidRDefault="006F41EA" w:rsidP="00F1547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p w14:paraId="39727E31" w14:textId="77777777" w:rsidR="006F41EA" w:rsidRDefault="006F41EA" w:rsidP="00F15477">
      <w:pPr>
        <w:pStyle w:val="Textonotapie"/>
        <w:spacing w:line="240" w:lineRule="atLeast"/>
        <w:ind w:left="284" w:right="-115" w:hanging="284"/>
        <w:jc w:val="both"/>
        <w:rPr>
          <w:rFonts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8EB"/>
    <w:multiLevelType w:val="hybridMultilevel"/>
    <w:tmpl w:val="975C2D88"/>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842514"/>
    <w:multiLevelType w:val="hybridMultilevel"/>
    <w:tmpl w:val="3B20A228"/>
    <w:lvl w:ilvl="0" w:tplc="280A000F">
      <w:start w:val="1"/>
      <w:numFmt w:val="decimal"/>
      <w:lvlText w:val="%1."/>
      <w:lvlJc w:val="left"/>
      <w:pPr>
        <w:ind w:left="360" w:hanging="360"/>
      </w:pPr>
    </w:lvl>
    <w:lvl w:ilvl="1" w:tplc="280A0017">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0C1F35A2"/>
    <w:multiLevelType w:val="hybridMultilevel"/>
    <w:tmpl w:val="799A8628"/>
    <w:lvl w:ilvl="0" w:tplc="0C0A0017">
      <w:start w:val="1"/>
      <w:numFmt w:val="lowerLetter"/>
      <w:lvlText w:val="%1)"/>
      <w:lvlJc w:val="left"/>
      <w:pPr>
        <w:ind w:left="926" w:hanging="360"/>
      </w:pPr>
    </w:lvl>
    <w:lvl w:ilvl="1" w:tplc="0C0A0019">
      <w:start w:val="1"/>
      <w:numFmt w:val="lowerLetter"/>
      <w:lvlText w:val="%2."/>
      <w:lvlJc w:val="left"/>
      <w:pPr>
        <w:ind w:left="1646" w:hanging="360"/>
      </w:pPr>
    </w:lvl>
    <w:lvl w:ilvl="2" w:tplc="0C0A001B">
      <w:start w:val="1"/>
      <w:numFmt w:val="lowerRoman"/>
      <w:lvlText w:val="%3."/>
      <w:lvlJc w:val="right"/>
      <w:pPr>
        <w:ind w:left="2366" w:hanging="180"/>
      </w:pPr>
    </w:lvl>
    <w:lvl w:ilvl="3" w:tplc="0C0A000F">
      <w:start w:val="1"/>
      <w:numFmt w:val="decimal"/>
      <w:lvlText w:val="%4."/>
      <w:lvlJc w:val="left"/>
      <w:pPr>
        <w:ind w:left="3086" w:hanging="360"/>
      </w:pPr>
    </w:lvl>
    <w:lvl w:ilvl="4" w:tplc="0C0A0019">
      <w:start w:val="1"/>
      <w:numFmt w:val="lowerLetter"/>
      <w:lvlText w:val="%5."/>
      <w:lvlJc w:val="left"/>
      <w:pPr>
        <w:ind w:left="3806" w:hanging="360"/>
      </w:pPr>
    </w:lvl>
    <w:lvl w:ilvl="5" w:tplc="0C0A001B">
      <w:start w:val="1"/>
      <w:numFmt w:val="lowerRoman"/>
      <w:lvlText w:val="%6."/>
      <w:lvlJc w:val="right"/>
      <w:pPr>
        <w:ind w:left="4526" w:hanging="180"/>
      </w:pPr>
    </w:lvl>
    <w:lvl w:ilvl="6" w:tplc="0C0A000F">
      <w:start w:val="1"/>
      <w:numFmt w:val="decimal"/>
      <w:lvlText w:val="%7."/>
      <w:lvlJc w:val="left"/>
      <w:pPr>
        <w:ind w:left="5246" w:hanging="360"/>
      </w:pPr>
    </w:lvl>
    <w:lvl w:ilvl="7" w:tplc="0C0A0019">
      <w:start w:val="1"/>
      <w:numFmt w:val="lowerLetter"/>
      <w:lvlText w:val="%8."/>
      <w:lvlJc w:val="left"/>
      <w:pPr>
        <w:ind w:left="5966" w:hanging="360"/>
      </w:pPr>
    </w:lvl>
    <w:lvl w:ilvl="8" w:tplc="0C0A001B">
      <w:start w:val="1"/>
      <w:numFmt w:val="lowerRoman"/>
      <w:lvlText w:val="%9."/>
      <w:lvlJc w:val="right"/>
      <w:pPr>
        <w:ind w:left="6686" w:hanging="180"/>
      </w:pPr>
    </w:lvl>
  </w:abstractNum>
  <w:abstractNum w:abstractNumId="3" w15:restartNumberingAfterBreak="0">
    <w:nsid w:val="13CE7061"/>
    <w:multiLevelType w:val="hybridMultilevel"/>
    <w:tmpl w:val="10247D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E72C62"/>
    <w:multiLevelType w:val="hybridMultilevel"/>
    <w:tmpl w:val="B1BC28A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2B743128"/>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6" w15:restartNumberingAfterBreak="0">
    <w:nsid w:val="359F512E"/>
    <w:multiLevelType w:val="hybridMultilevel"/>
    <w:tmpl w:val="37448C28"/>
    <w:lvl w:ilvl="0" w:tplc="9E6E4C8A">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7" w15:restartNumberingAfterBreak="0">
    <w:nsid w:val="375B5F5F"/>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8" w15:restartNumberingAfterBreak="0">
    <w:nsid w:val="3AA22259"/>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9" w15:restartNumberingAfterBreak="0">
    <w:nsid w:val="5F8120CE"/>
    <w:multiLevelType w:val="hybridMultilevel"/>
    <w:tmpl w:val="C924F896"/>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A444A9C"/>
    <w:multiLevelType w:val="hybridMultilevel"/>
    <w:tmpl w:val="3F4CAD64"/>
    <w:lvl w:ilvl="0" w:tplc="158C0286">
      <w:start w:val="1"/>
      <w:numFmt w:val="decimalZero"/>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E7F20E2"/>
    <w:multiLevelType w:val="hybridMultilevel"/>
    <w:tmpl w:val="6F569C3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724522511">
    <w:abstractNumId w:val="0"/>
  </w:num>
  <w:num w:numId="2" w16cid:durableId="939605198">
    <w:abstractNumId w:val="8"/>
  </w:num>
  <w:num w:numId="3" w16cid:durableId="1345088946">
    <w:abstractNumId w:val="7"/>
  </w:num>
  <w:num w:numId="4" w16cid:durableId="1672414420">
    <w:abstractNumId w:val="5"/>
  </w:num>
  <w:num w:numId="5" w16cid:durableId="2959924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501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4480048">
    <w:abstractNumId w:val="4"/>
  </w:num>
  <w:num w:numId="8" w16cid:durableId="835413517">
    <w:abstractNumId w:val="11"/>
  </w:num>
  <w:num w:numId="9" w16cid:durableId="923999535">
    <w:abstractNumId w:val="6"/>
  </w:num>
  <w:num w:numId="10" w16cid:durableId="291788725">
    <w:abstractNumId w:val="10"/>
  </w:num>
  <w:num w:numId="11" w16cid:durableId="1016156017">
    <w:abstractNumId w:val="9"/>
  </w:num>
  <w:num w:numId="12" w16cid:durableId="527184046">
    <w:abstractNumId w:val="3"/>
  </w:num>
  <w:num w:numId="13" w16cid:durableId="17048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B45"/>
    <w:rsid w:val="000156DF"/>
    <w:rsid w:val="00024E81"/>
    <w:rsid w:val="00056E1F"/>
    <w:rsid w:val="000740E2"/>
    <w:rsid w:val="00081AA6"/>
    <w:rsid w:val="000A0261"/>
    <w:rsid w:val="000A3292"/>
    <w:rsid w:val="00102CAE"/>
    <w:rsid w:val="00107286"/>
    <w:rsid w:val="00150DD0"/>
    <w:rsid w:val="00166754"/>
    <w:rsid w:val="00166F56"/>
    <w:rsid w:val="001B0928"/>
    <w:rsid w:val="001B17B4"/>
    <w:rsid w:val="001D245D"/>
    <w:rsid w:val="001E0DCD"/>
    <w:rsid w:val="001F154F"/>
    <w:rsid w:val="001F4EEE"/>
    <w:rsid w:val="00203222"/>
    <w:rsid w:val="0022173D"/>
    <w:rsid w:val="00237C01"/>
    <w:rsid w:val="00242A56"/>
    <w:rsid w:val="00246B08"/>
    <w:rsid w:val="002569C9"/>
    <w:rsid w:val="00261450"/>
    <w:rsid w:val="00271B36"/>
    <w:rsid w:val="002E2604"/>
    <w:rsid w:val="002F24FE"/>
    <w:rsid w:val="0030369F"/>
    <w:rsid w:val="003046D2"/>
    <w:rsid w:val="00315681"/>
    <w:rsid w:val="00317098"/>
    <w:rsid w:val="00324375"/>
    <w:rsid w:val="00325774"/>
    <w:rsid w:val="00337E6B"/>
    <w:rsid w:val="00343815"/>
    <w:rsid w:val="003452A4"/>
    <w:rsid w:val="00350879"/>
    <w:rsid w:val="0037359C"/>
    <w:rsid w:val="00387AA4"/>
    <w:rsid w:val="003B0C22"/>
    <w:rsid w:val="003D0602"/>
    <w:rsid w:val="00400021"/>
    <w:rsid w:val="0044547D"/>
    <w:rsid w:val="0045160F"/>
    <w:rsid w:val="00461C60"/>
    <w:rsid w:val="00462082"/>
    <w:rsid w:val="00472567"/>
    <w:rsid w:val="004A2F54"/>
    <w:rsid w:val="004A3096"/>
    <w:rsid w:val="004A66CB"/>
    <w:rsid w:val="004B2CA0"/>
    <w:rsid w:val="004E3B41"/>
    <w:rsid w:val="00501CA2"/>
    <w:rsid w:val="005464E2"/>
    <w:rsid w:val="00561B71"/>
    <w:rsid w:val="00577D61"/>
    <w:rsid w:val="0058744D"/>
    <w:rsid w:val="005972BC"/>
    <w:rsid w:val="005B5996"/>
    <w:rsid w:val="005E3CD1"/>
    <w:rsid w:val="0061378C"/>
    <w:rsid w:val="00624D67"/>
    <w:rsid w:val="006374F2"/>
    <w:rsid w:val="00642FD0"/>
    <w:rsid w:val="00652998"/>
    <w:rsid w:val="00652B65"/>
    <w:rsid w:val="00696A5B"/>
    <w:rsid w:val="006A2A0C"/>
    <w:rsid w:val="006A71D3"/>
    <w:rsid w:val="006B171A"/>
    <w:rsid w:val="006B5C2B"/>
    <w:rsid w:val="006F41EA"/>
    <w:rsid w:val="00705334"/>
    <w:rsid w:val="00706867"/>
    <w:rsid w:val="0071085F"/>
    <w:rsid w:val="00712B95"/>
    <w:rsid w:val="0072632A"/>
    <w:rsid w:val="00746B6A"/>
    <w:rsid w:val="00753385"/>
    <w:rsid w:val="00781F94"/>
    <w:rsid w:val="00787A00"/>
    <w:rsid w:val="007C769F"/>
    <w:rsid w:val="007F17A2"/>
    <w:rsid w:val="00803E4D"/>
    <w:rsid w:val="0085293F"/>
    <w:rsid w:val="00860925"/>
    <w:rsid w:val="00860FBF"/>
    <w:rsid w:val="00884215"/>
    <w:rsid w:val="00887A9F"/>
    <w:rsid w:val="008A4A4C"/>
    <w:rsid w:val="008D0FA3"/>
    <w:rsid w:val="009110C9"/>
    <w:rsid w:val="00933CF9"/>
    <w:rsid w:val="0093755F"/>
    <w:rsid w:val="00950D8F"/>
    <w:rsid w:val="009812CC"/>
    <w:rsid w:val="00983149"/>
    <w:rsid w:val="009C7E9A"/>
    <w:rsid w:val="009D703C"/>
    <w:rsid w:val="009E1754"/>
    <w:rsid w:val="00A126B4"/>
    <w:rsid w:val="00A30320"/>
    <w:rsid w:val="00A34EC7"/>
    <w:rsid w:val="00A64FAB"/>
    <w:rsid w:val="00A77CB8"/>
    <w:rsid w:val="00A8151A"/>
    <w:rsid w:val="00A8672A"/>
    <w:rsid w:val="00A92752"/>
    <w:rsid w:val="00A93170"/>
    <w:rsid w:val="00AB1777"/>
    <w:rsid w:val="00AC2A79"/>
    <w:rsid w:val="00AC3124"/>
    <w:rsid w:val="00AD745C"/>
    <w:rsid w:val="00AE5EB5"/>
    <w:rsid w:val="00AE7D47"/>
    <w:rsid w:val="00AF12AD"/>
    <w:rsid w:val="00B00B86"/>
    <w:rsid w:val="00B124B6"/>
    <w:rsid w:val="00B31FC6"/>
    <w:rsid w:val="00B4030B"/>
    <w:rsid w:val="00B5014A"/>
    <w:rsid w:val="00B905D9"/>
    <w:rsid w:val="00BA1AEB"/>
    <w:rsid w:val="00BA4F24"/>
    <w:rsid w:val="00BA7DB1"/>
    <w:rsid w:val="00BD3B26"/>
    <w:rsid w:val="00BE6738"/>
    <w:rsid w:val="00BF183E"/>
    <w:rsid w:val="00C0029C"/>
    <w:rsid w:val="00C462DD"/>
    <w:rsid w:val="00C475A1"/>
    <w:rsid w:val="00C757F8"/>
    <w:rsid w:val="00C8269C"/>
    <w:rsid w:val="00CA3E6B"/>
    <w:rsid w:val="00CB5FF7"/>
    <w:rsid w:val="00CD7F36"/>
    <w:rsid w:val="00CF050E"/>
    <w:rsid w:val="00D23332"/>
    <w:rsid w:val="00D25850"/>
    <w:rsid w:val="00D31095"/>
    <w:rsid w:val="00D4235D"/>
    <w:rsid w:val="00D66F5A"/>
    <w:rsid w:val="00D83C2F"/>
    <w:rsid w:val="00D85C17"/>
    <w:rsid w:val="00DC5095"/>
    <w:rsid w:val="00DD46A5"/>
    <w:rsid w:val="00E265EA"/>
    <w:rsid w:val="00E3435C"/>
    <w:rsid w:val="00E345E2"/>
    <w:rsid w:val="00E63332"/>
    <w:rsid w:val="00E64386"/>
    <w:rsid w:val="00E64423"/>
    <w:rsid w:val="00E72AA2"/>
    <w:rsid w:val="00E86736"/>
    <w:rsid w:val="00E96ABF"/>
    <w:rsid w:val="00EB1794"/>
    <w:rsid w:val="00EB2FC4"/>
    <w:rsid w:val="00EC5880"/>
    <w:rsid w:val="00ED5CA4"/>
    <w:rsid w:val="00F07F51"/>
    <w:rsid w:val="00F11525"/>
    <w:rsid w:val="00F11B45"/>
    <w:rsid w:val="00F11DAC"/>
    <w:rsid w:val="00F1242B"/>
    <w:rsid w:val="00F15477"/>
    <w:rsid w:val="00F70ECF"/>
    <w:rsid w:val="00F76611"/>
    <w:rsid w:val="00F91E8C"/>
    <w:rsid w:val="00F9658E"/>
    <w:rsid w:val="00FD4724"/>
    <w:rsid w:val="00FF25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45C9"/>
  <w15:docId w15:val="{CE3DC8CF-F434-4156-9134-D3453803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11B45"/>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F11B45"/>
    <w:pPr>
      <w:ind w:left="720"/>
      <w:contextualSpacing/>
    </w:pPr>
  </w:style>
  <w:style w:type="paragraph" w:styleId="Textonotapie">
    <w:name w:val="footnote text"/>
    <w:basedOn w:val="Normal"/>
    <w:link w:val="TextonotapieCar"/>
    <w:uiPriority w:val="99"/>
    <w:unhideWhenUsed/>
    <w:rsid w:val="00F15477"/>
    <w:pPr>
      <w:spacing w:after="0" w:line="240" w:lineRule="auto"/>
    </w:pPr>
    <w:rPr>
      <w:sz w:val="20"/>
      <w:szCs w:val="20"/>
    </w:rPr>
  </w:style>
  <w:style w:type="character" w:customStyle="1" w:styleId="TextonotapieCar">
    <w:name w:val="Texto nota pie Car"/>
    <w:basedOn w:val="Fuentedeprrafopredeter"/>
    <w:link w:val="Textonotapie"/>
    <w:uiPriority w:val="99"/>
    <w:rsid w:val="00F15477"/>
    <w:rPr>
      <w:sz w:val="20"/>
      <w:szCs w:val="20"/>
    </w:rPr>
  </w:style>
  <w:style w:type="character" w:styleId="Refdenotaalpie">
    <w:name w:val="footnote reference"/>
    <w:basedOn w:val="Fuentedeprrafopredeter"/>
    <w:uiPriority w:val="99"/>
    <w:unhideWhenUsed/>
    <w:rsid w:val="00F15477"/>
    <w:rPr>
      <w:vertAlign w:val="superscript"/>
    </w:rPr>
  </w:style>
  <w:style w:type="paragraph" w:styleId="Textodeglobo">
    <w:name w:val="Balloon Text"/>
    <w:basedOn w:val="Normal"/>
    <w:link w:val="TextodegloboCar"/>
    <w:uiPriority w:val="99"/>
    <w:semiHidden/>
    <w:unhideWhenUsed/>
    <w:rsid w:val="00E343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435C"/>
    <w:rPr>
      <w:rFonts w:ascii="Tahoma" w:hAnsi="Tahoma" w:cs="Tahoma"/>
      <w:sz w:val="16"/>
      <w:szCs w:val="16"/>
    </w:rPr>
  </w:style>
  <w:style w:type="character" w:styleId="Hipervnculo">
    <w:name w:val="Hyperlink"/>
    <w:basedOn w:val="Fuentedeprrafopredeter"/>
    <w:uiPriority w:val="99"/>
    <w:semiHidden/>
    <w:unhideWhenUsed/>
    <w:rsid w:val="000A3292"/>
    <w:rPr>
      <w:color w:val="0000FF"/>
      <w:u w:val="single"/>
    </w:rPr>
  </w:style>
  <w:style w:type="paragraph" w:styleId="Textocomentario">
    <w:name w:val="annotation text"/>
    <w:basedOn w:val="Normal"/>
    <w:link w:val="TextocomentarioCar"/>
    <w:uiPriority w:val="99"/>
    <w:semiHidden/>
    <w:unhideWhenUsed/>
    <w:rsid w:val="000A3292"/>
    <w:pPr>
      <w:spacing w:after="0" w:line="240" w:lineRule="auto"/>
    </w:pPr>
    <w:rPr>
      <w:rFonts w:ascii="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A3292"/>
    <w:rPr>
      <w:rFonts w:ascii="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0A3292"/>
  </w:style>
  <w:style w:type="paragraph" w:styleId="Asuntodelcomentario">
    <w:name w:val="annotation subject"/>
    <w:basedOn w:val="Textocomentario"/>
    <w:next w:val="Textocomentario"/>
    <w:link w:val="AsuntodelcomentarioCar"/>
    <w:uiPriority w:val="99"/>
    <w:semiHidden/>
    <w:unhideWhenUsed/>
    <w:rsid w:val="00887A9F"/>
    <w:pPr>
      <w:spacing w:after="200"/>
    </w:pPr>
    <w:rPr>
      <w:rFonts w:ascii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7A9F"/>
    <w:rPr>
      <w:rFonts w:ascii="Times New Roman" w:hAnsi="Times New Roman" w:cs="Times New Roman"/>
      <w:b/>
      <w:bCs/>
      <w:sz w:val="20"/>
      <w:szCs w:val="20"/>
      <w:lang w:eastAsia="es-ES"/>
    </w:rPr>
  </w:style>
  <w:style w:type="character" w:customStyle="1" w:styleId="xcontentpasted3">
    <w:name w:val="x_contentpasted3"/>
    <w:basedOn w:val="Fuentedeprrafopredeter"/>
    <w:rsid w:val="00A12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8363">
      <w:bodyDiv w:val="1"/>
      <w:marLeft w:val="0"/>
      <w:marRight w:val="0"/>
      <w:marTop w:val="0"/>
      <w:marBottom w:val="0"/>
      <w:divBdr>
        <w:top w:val="none" w:sz="0" w:space="0" w:color="auto"/>
        <w:left w:val="none" w:sz="0" w:space="0" w:color="auto"/>
        <w:bottom w:val="none" w:sz="0" w:space="0" w:color="auto"/>
        <w:right w:val="none" w:sz="0" w:space="0" w:color="auto"/>
      </w:divBdr>
    </w:div>
    <w:div w:id="282422986">
      <w:bodyDiv w:val="1"/>
      <w:marLeft w:val="0"/>
      <w:marRight w:val="0"/>
      <w:marTop w:val="0"/>
      <w:marBottom w:val="0"/>
      <w:divBdr>
        <w:top w:val="none" w:sz="0" w:space="0" w:color="auto"/>
        <w:left w:val="none" w:sz="0" w:space="0" w:color="auto"/>
        <w:bottom w:val="none" w:sz="0" w:space="0" w:color="auto"/>
        <w:right w:val="none" w:sz="0" w:space="0" w:color="auto"/>
      </w:divBdr>
    </w:div>
    <w:div w:id="290524064">
      <w:bodyDiv w:val="1"/>
      <w:marLeft w:val="0"/>
      <w:marRight w:val="0"/>
      <w:marTop w:val="0"/>
      <w:marBottom w:val="0"/>
      <w:divBdr>
        <w:top w:val="none" w:sz="0" w:space="0" w:color="auto"/>
        <w:left w:val="none" w:sz="0" w:space="0" w:color="auto"/>
        <w:bottom w:val="none" w:sz="0" w:space="0" w:color="auto"/>
        <w:right w:val="none" w:sz="0" w:space="0" w:color="auto"/>
      </w:divBdr>
    </w:div>
    <w:div w:id="659501692">
      <w:bodyDiv w:val="1"/>
      <w:marLeft w:val="0"/>
      <w:marRight w:val="0"/>
      <w:marTop w:val="0"/>
      <w:marBottom w:val="0"/>
      <w:divBdr>
        <w:top w:val="none" w:sz="0" w:space="0" w:color="auto"/>
        <w:left w:val="none" w:sz="0" w:space="0" w:color="auto"/>
        <w:bottom w:val="none" w:sz="0" w:space="0" w:color="auto"/>
        <w:right w:val="none" w:sz="0" w:space="0" w:color="auto"/>
      </w:divBdr>
    </w:div>
    <w:div w:id="673536984">
      <w:bodyDiv w:val="1"/>
      <w:marLeft w:val="0"/>
      <w:marRight w:val="0"/>
      <w:marTop w:val="0"/>
      <w:marBottom w:val="0"/>
      <w:divBdr>
        <w:top w:val="none" w:sz="0" w:space="0" w:color="auto"/>
        <w:left w:val="none" w:sz="0" w:space="0" w:color="auto"/>
        <w:bottom w:val="none" w:sz="0" w:space="0" w:color="auto"/>
        <w:right w:val="none" w:sz="0" w:space="0" w:color="auto"/>
      </w:divBdr>
    </w:div>
    <w:div w:id="1463766864">
      <w:bodyDiv w:val="1"/>
      <w:marLeft w:val="0"/>
      <w:marRight w:val="0"/>
      <w:marTop w:val="0"/>
      <w:marBottom w:val="0"/>
      <w:divBdr>
        <w:top w:val="none" w:sz="0" w:space="0" w:color="auto"/>
        <w:left w:val="none" w:sz="0" w:space="0" w:color="auto"/>
        <w:bottom w:val="none" w:sz="0" w:space="0" w:color="auto"/>
        <w:right w:val="none" w:sz="0" w:space="0" w:color="auto"/>
      </w:divBdr>
    </w:div>
    <w:div w:id="1485119834">
      <w:bodyDiv w:val="1"/>
      <w:marLeft w:val="0"/>
      <w:marRight w:val="0"/>
      <w:marTop w:val="0"/>
      <w:marBottom w:val="0"/>
      <w:divBdr>
        <w:top w:val="none" w:sz="0" w:space="0" w:color="auto"/>
        <w:left w:val="none" w:sz="0" w:space="0" w:color="auto"/>
        <w:bottom w:val="none" w:sz="0" w:space="0" w:color="auto"/>
        <w:right w:val="none" w:sz="0" w:space="0" w:color="auto"/>
      </w:divBdr>
    </w:div>
    <w:div w:id="1675500210">
      <w:bodyDiv w:val="1"/>
      <w:marLeft w:val="0"/>
      <w:marRight w:val="0"/>
      <w:marTop w:val="0"/>
      <w:marBottom w:val="0"/>
      <w:divBdr>
        <w:top w:val="none" w:sz="0" w:space="0" w:color="auto"/>
        <w:left w:val="none" w:sz="0" w:space="0" w:color="auto"/>
        <w:bottom w:val="none" w:sz="0" w:space="0" w:color="auto"/>
        <w:right w:val="none" w:sz="0" w:space="0" w:color="auto"/>
      </w:divBdr>
    </w:div>
    <w:div w:id="1692998481">
      <w:bodyDiv w:val="1"/>
      <w:marLeft w:val="0"/>
      <w:marRight w:val="0"/>
      <w:marTop w:val="0"/>
      <w:marBottom w:val="0"/>
      <w:divBdr>
        <w:top w:val="none" w:sz="0" w:space="0" w:color="auto"/>
        <w:left w:val="none" w:sz="0" w:space="0" w:color="auto"/>
        <w:bottom w:val="none" w:sz="0" w:space="0" w:color="auto"/>
        <w:right w:val="none" w:sz="0" w:space="0" w:color="auto"/>
      </w:divBdr>
    </w:div>
    <w:div w:id="1790469990">
      <w:bodyDiv w:val="1"/>
      <w:marLeft w:val="0"/>
      <w:marRight w:val="0"/>
      <w:marTop w:val="0"/>
      <w:marBottom w:val="0"/>
      <w:divBdr>
        <w:top w:val="none" w:sz="0" w:space="0" w:color="auto"/>
        <w:left w:val="none" w:sz="0" w:space="0" w:color="auto"/>
        <w:bottom w:val="none" w:sz="0" w:space="0" w:color="auto"/>
        <w:right w:val="none" w:sz="0" w:space="0" w:color="auto"/>
      </w:divBdr>
    </w:div>
    <w:div w:id="1792359643">
      <w:bodyDiv w:val="1"/>
      <w:marLeft w:val="0"/>
      <w:marRight w:val="0"/>
      <w:marTop w:val="0"/>
      <w:marBottom w:val="0"/>
      <w:divBdr>
        <w:top w:val="none" w:sz="0" w:space="0" w:color="auto"/>
        <w:left w:val="none" w:sz="0" w:space="0" w:color="auto"/>
        <w:bottom w:val="none" w:sz="0" w:space="0" w:color="auto"/>
        <w:right w:val="none" w:sz="0" w:space="0" w:color="auto"/>
      </w:divBdr>
    </w:div>
    <w:div w:id="2055348626">
      <w:bodyDiv w:val="1"/>
      <w:marLeft w:val="0"/>
      <w:marRight w:val="0"/>
      <w:marTop w:val="0"/>
      <w:marBottom w:val="0"/>
      <w:divBdr>
        <w:top w:val="none" w:sz="0" w:space="0" w:color="auto"/>
        <w:left w:val="none" w:sz="0" w:space="0" w:color="auto"/>
        <w:bottom w:val="none" w:sz="0" w:space="0" w:color="auto"/>
        <w:right w:val="none" w:sz="0" w:space="0" w:color="auto"/>
      </w:divBdr>
    </w:div>
    <w:div w:id="208876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0E9B3-0F23-4912-A557-4A8F3FFD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2589</Words>
  <Characters>14241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Banco de Credito BCP</Company>
  <LinksUpToDate>false</LinksUpToDate>
  <CharactersWithSpaces>16797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Katiuzka Apaza R. - Prima AFP</dc:creator>
  <cp:lastModifiedBy>Jaime Andres Rivas Lenti</cp:lastModifiedBy>
  <cp:revision>15</cp:revision>
  <cp:lastPrinted>2016-03-29T21:48:00Z</cp:lastPrinted>
  <dcterms:created xsi:type="dcterms:W3CDTF">2023-03-27T16:04:00Z</dcterms:created>
  <dcterms:modified xsi:type="dcterms:W3CDTF">2024-03-18T18:13:00Z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62edd53-3995-41c0-97a0-9ea8ae9a99d8_Enabled">
    <vt:lpwstr>true</vt:lpwstr>
  </property>
  <property fmtid="{D5CDD505-2E9C-101B-9397-08002B2CF9AE}" pid="3" name="MSIP_Label_f62edd53-3995-41c0-97a0-9ea8ae9a99d8_SetDate">
    <vt:lpwstr>2024-02-20T20:47:07Z</vt:lpwstr>
  </property>
  <property fmtid="{D5CDD505-2E9C-101B-9397-08002B2CF9AE}" pid="4" name="MSIP_Label_f62edd53-3995-41c0-97a0-9ea8ae9a99d8_Method">
    <vt:lpwstr>Standard</vt:lpwstr>
  </property>
  <property fmtid="{D5CDD505-2E9C-101B-9397-08002B2CF9AE}" pid="5" name="MSIP_Label_f62edd53-3995-41c0-97a0-9ea8ae9a99d8_Name">
    <vt:lpwstr>Uso Interno</vt:lpwstr>
  </property>
  <property fmtid="{D5CDD505-2E9C-101B-9397-08002B2CF9AE}" pid="6" name="MSIP_Label_f62edd53-3995-41c0-97a0-9ea8ae9a99d8_SiteId">
    <vt:lpwstr>4ce0a5ca-a79f-45a5-91a5-4f396a4cda65</vt:lpwstr>
  </property>
  <property fmtid="{D5CDD505-2E9C-101B-9397-08002B2CF9AE}" pid="7" name="MSIP_Label_f62edd53-3995-41c0-97a0-9ea8ae9a99d8_ActionId">
    <vt:lpwstr>c46f6325-ea3a-43d3-8631-ba427a9b29a0</vt:lpwstr>
  </property>
  <property fmtid="{D5CDD505-2E9C-101B-9397-08002B2CF9AE}" pid="8" name="MSIP_Label_f62edd53-3995-41c0-97a0-9ea8ae9a99d8_ContentBits">
    <vt:lpwstr>0</vt:lpwstr>
  </property>
</Properties>
</file>