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7E2953" w14:textId="77777777" w:rsidR="000A2305" w:rsidRDefault="000A2305">
      <w:pPr>
        <w:ind w:left="0" w:hanging="2"/>
      </w:pPr>
      <w:bookmarkStart w:id="0" w:name="bookmark=id.gjdgxs" w:colFirst="0" w:colLast="0"/>
      <w:bookmarkEnd w:id="0"/>
    </w:p>
    <w:tbl>
      <w:tblPr>
        <w:tblStyle w:val="a"/>
        <w:tblW w:w="9040" w:type="dxa"/>
        <w:tblInd w:w="-10" w:type="dxa"/>
        <w:tblLayout w:type="fixed"/>
        <w:tblLook w:val="0000" w:firstRow="0" w:lastRow="0" w:firstColumn="0" w:lastColumn="0" w:noHBand="0" w:noVBand="0"/>
      </w:tblPr>
      <w:tblGrid>
        <w:gridCol w:w="3538"/>
        <w:gridCol w:w="625"/>
        <w:gridCol w:w="1063"/>
        <w:gridCol w:w="950"/>
        <w:gridCol w:w="936"/>
        <w:gridCol w:w="1013"/>
        <w:gridCol w:w="915"/>
      </w:tblGrid>
      <w:tr w:rsidR="000A2305" w14:paraId="114FBD32" w14:textId="77777777">
        <w:trPr>
          <w:trHeight w:val="780"/>
        </w:trPr>
        <w:tc>
          <w:tcPr>
            <w:tcW w:w="9040" w:type="dxa"/>
            <w:gridSpan w:val="7"/>
            <w:tcBorders>
              <w:top w:val="nil"/>
              <w:left w:val="single" w:sz="8" w:space="0" w:color="000000"/>
              <w:bottom w:val="nil"/>
              <w:right w:val="nil"/>
            </w:tcBorders>
            <w:shd w:val="clear" w:color="auto" w:fill="376091"/>
            <w:vAlign w:val="center"/>
          </w:tcPr>
          <w:p w14:paraId="2D04196A" w14:textId="77777777" w:rsidR="000A2305" w:rsidRDefault="00000000">
            <w:pPr>
              <w:spacing w:after="0" w:line="240" w:lineRule="auto"/>
              <w:ind w:left="0" w:hanging="2"/>
              <w:rPr>
                <w:rFonts w:ascii="Arial" w:eastAsia="Arial" w:hAnsi="Arial" w:cs="Arial"/>
                <w:color w:val="FFFFFF"/>
              </w:rPr>
            </w:pPr>
            <w:r>
              <w:rPr>
                <w:rFonts w:ascii="Arial" w:eastAsia="Arial" w:hAnsi="Arial" w:cs="Arial"/>
                <w:b/>
                <w:color w:val="FFFFFF"/>
              </w:rPr>
              <w:t>REPORTE SOBRE EL CUMPLIMIENTO DEL CÓDIGO DE BUEN GOBIERNO</w:t>
            </w:r>
            <w:r>
              <w:rPr>
                <w:rFonts w:ascii="Arial" w:eastAsia="Arial" w:hAnsi="Arial" w:cs="Arial"/>
                <w:b/>
                <w:color w:val="FFFFFF"/>
              </w:rPr>
              <w:br/>
              <w:t>CORPORATIVO PARA LAS SOCIEDADES PERUANAS (10150)</w:t>
            </w:r>
          </w:p>
        </w:tc>
      </w:tr>
      <w:tr w:rsidR="000A2305" w14:paraId="69785C2A" w14:textId="77777777">
        <w:trPr>
          <w:trHeight w:val="90"/>
        </w:trPr>
        <w:tc>
          <w:tcPr>
            <w:tcW w:w="9040" w:type="dxa"/>
            <w:gridSpan w:val="7"/>
            <w:tcBorders>
              <w:top w:val="nil"/>
              <w:left w:val="nil"/>
              <w:bottom w:val="nil"/>
              <w:right w:val="nil"/>
            </w:tcBorders>
            <w:shd w:val="clear" w:color="auto" w:fill="FFFFFF"/>
          </w:tcPr>
          <w:p w14:paraId="3B19D7CB" w14:textId="77777777" w:rsidR="000A2305" w:rsidRDefault="00000000">
            <w:pPr>
              <w:spacing w:after="0" w:line="240" w:lineRule="auto"/>
              <w:ind w:left="0" w:hanging="2"/>
              <w:jc w:val="center"/>
              <w:rPr>
                <w:rFonts w:ascii="Arial" w:eastAsia="Arial" w:hAnsi="Arial" w:cs="Arial"/>
                <w:color w:val="000000"/>
                <w:sz w:val="18"/>
                <w:szCs w:val="18"/>
              </w:rPr>
            </w:pPr>
            <w:r>
              <w:rPr>
                <w:rFonts w:ascii="Arial" w:eastAsia="Arial" w:hAnsi="Arial" w:cs="Arial"/>
                <w:color w:val="000000"/>
                <w:sz w:val="18"/>
                <w:szCs w:val="18"/>
              </w:rPr>
              <w:t> </w:t>
            </w:r>
          </w:p>
        </w:tc>
      </w:tr>
      <w:tr w:rsidR="000A2305" w14:paraId="1856B91A" w14:textId="77777777">
        <w:trPr>
          <w:trHeight w:val="240"/>
        </w:trPr>
        <w:tc>
          <w:tcPr>
            <w:tcW w:w="9040" w:type="dxa"/>
            <w:gridSpan w:val="7"/>
            <w:tcBorders>
              <w:top w:val="nil"/>
              <w:left w:val="nil"/>
              <w:bottom w:val="single" w:sz="4" w:space="0" w:color="000000"/>
              <w:right w:val="nil"/>
            </w:tcBorders>
            <w:shd w:val="clear" w:color="auto" w:fill="FFFFFF"/>
          </w:tcPr>
          <w:p w14:paraId="497493CB" w14:textId="77777777" w:rsidR="000A2305" w:rsidRDefault="00000000">
            <w:pPr>
              <w:spacing w:after="0" w:line="240" w:lineRule="auto"/>
              <w:ind w:left="0" w:hanging="2"/>
              <w:rPr>
                <w:rFonts w:ascii="Arial" w:eastAsia="Arial" w:hAnsi="Arial" w:cs="Arial"/>
                <w:color w:val="000000"/>
                <w:sz w:val="18"/>
                <w:szCs w:val="18"/>
              </w:rPr>
            </w:pPr>
            <w:r>
              <w:rPr>
                <w:rFonts w:ascii="Arial" w:eastAsia="Arial" w:hAnsi="Arial" w:cs="Arial"/>
                <w:color w:val="000000"/>
                <w:sz w:val="18"/>
                <w:szCs w:val="18"/>
              </w:rPr>
              <w:t>Denominación:</w:t>
            </w:r>
          </w:p>
        </w:tc>
      </w:tr>
      <w:tr w:rsidR="000A2305" w14:paraId="751E1C64" w14:textId="77777777">
        <w:trPr>
          <w:trHeight w:val="540"/>
        </w:trPr>
        <w:tc>
          <w:tcPr>
            <w:tcW w:w="9040" w:type="dxa"/>
            <w:gridSpan w:val="7"/>
            <w:tcBorders>
              <w:top w:val="single" w:sz="4" w:space="0" w:color="000000"/>
              <w:left w:val="single" w:sz="4" w:space="0" w:color="000000"/>
              <w:bottom w:val="single" w:sz="4" w:space="0" w:color="000000"/>
              <w:right w:val="single" w:sz="4" w:space="0" w:color="000000"/>
            </w:tcBorders>
            <w:shd w:val="clear" w:color="auto" w:fill="EAF1DD"/>
          </w:tcPr>
          <w:p w14:paraId="5207D291" w14:textId="77777777" w:rsidR="000A2305" w:rsidRDefault="000A2305">
            <w:pPr>
              <w:spacing w:after="0" w:line="240" w:lineRule="auto"/>
              <w:ind w:left="0" w:hanging="2"/>
              <w:rPr>
                <w:rFonts w:ascii="Arial" w:eastAsia="Arial" w:hAnsi="Arial" w:cs="Arial"/>
                <w:color w:val="000000"/>
                <w:sz w:val="18"/>
                <w:szCs w:val="18"/>
              </w:rPr>
            </w:pPr>
          </w:p>
          <w:p w14:paraId="1125E064" w14:textId="77777777" w:rsidR="000A2305" w:rsidRDefault="00000000">
            <w:pPr>
              <w:spacing w:after="0" w:line="240" w:lineRule="auto"/>
              <w:ind w:left="0" w:hanging="2"/>
              <w:rPr>
                <w:rFonts w:ascii="Arial" w:eastAsia="Arial" w:hAnsi="Arial" w:cs="Arial"/>
                <w:color w:val="000000"/>
                <w:sz w:val="18"/>
                <w:szCs w:val="18"/>
              </w:rPr>
            </w:pPr>
            <w:r>
              <w:rPr>
                <w:rFonts w:ascii="Arial" w:eastAsia="Arial" w:hAnsi="Arial" w:cs="Arial"/>
                <w:color w:val="000000"/>
                <w:sz w:val="18"/>
                <w:szCs w:val="18"/>
              </w:rPr>
              <w:t>BANCO DE COMERCIO S.A.</w:t>
            </w:r>
          </w:p>
        </w:tc>
      </w:tr>
      <w:tr w:rsidR="000A2305" w14:paraId="2B018966" w14:textId="77777777">
        <w:trPr>
          <w:trHeight w:val="135"/>
        </w:trPr>
        <w:tc>
          <w:tcPr>
            <w:tcW w:w="9040" w:type="dxa"/>
            <w:gridSpan w:val="7"/>
            <w:tcBorders>
              <w:top w:val="single" w:sz="4" w:space="0" w:color="000000"/>
              <w:left w:val="nil"/>
              <w:bottom w:val="nil"/>
              <w:right w:val="nil"/>
            </w:tcBorders>
            <w:shd w:val="clear" w:color="auto" w:fill="FFFFFF"/>
          </w:tcPr>
          <w:p w14:paraId="1F340DC9" w14:textId="77777777" w:rsidR="000A2305" w:rsidRDefault="00000000">
            <w:pPr>
              <w:spacing w:after="0" w:line="240" w:lineRule="auto"/>
              <w:ind w:left="0" w:hanging="2"/>
              <w:jc w:val="center"/>
              <w:rPr>
                <w:rFonts w:ascii="Arial" w:eastAsia="Arial" w:hAnsi="Arial" w:cs="Arial"/>
                <w:color w:val="000000"/>
                <w:sz w:val="18"/>
                <w:szCs w:val="18"/>
              </w:rPr>
            </w:pPr>
            <w:r>
              <w:rPr>
                <w:rFonts w:ascii="Arial" w:eastAsia="Arial" w:hAnsi="Arial" w:cs="Arial"/>
                <w:color w:val="000000"/>
                <w:sz w:val="18"/>
                <w:szCs w:val="18"/>
              </w:rPr>
              <w:t> </w:t>
            </w:r>
          </w:p>
        </w:tc>
      </w:tr>
      <w:tr w:rsidR="000A2305" w14:paraId="62A47616" w14:textId="77777777">
        <w:trPr>
          <w:trHeight w:val="255"/>
        </w:trPr>
        <w:tc>
          <w:tcPr>
            <w:tcW w:w="4163" w:type="dxa"/>
            <w:gridSpan w:val="2"/>
            <w:tcBorders>
              <w:top w:val="nil"/>
              <w:left w:val="nil"/>
              <w:bottom w:val="nil"/>
              <w:right w:val="single" w:sz="4" w:space="0" w:color="000000"/>
            </w:tcBorders>
            <w:shd w:val="clear" w:color="auto" w:fill="FFFFFF"/>
          </w:tcPr>
          <w:p w14:paraId="7500DC6D" w14:textId="77777777" w:rsidR="000A2305" w:rsidRDefault="00000000">
            <w:pPr>
              <w:spacing w:after="0" w:line="240" w:lineRule="auto"/>
              <w:ind w:left="0" w:hanging="2"/>
              <w:rPr>
                <w:rFonts w:ascii="Arial" w:eastAsia="Arial" w:hAnsi="Arial" w:cs="Arial"/>
                <w:color w:val="000000"/>
                <w:sz w:val="18"/>
                <w:szCs w:val="18"/>
              </w:rPr>
            </w:pPr>
            <w:r>
              <w:rPr>
                <w:rFonts w:ascii="Arial" w:eastAsia="Arial" w:hAnsi="Arial" w:cs="Arial"/>
                <w:color w:val="000000"/>
                <w:sz w:val="18"/>
                <w:szCs w:val="18"/>
              </w:rPr>
              <w:t>Ejercicio:</w:t>
            </w:r>
          </w:p>
        </w:tc>
        <w:tc>
          <w:tcPr>
            <w:tcW w:w="2949" w:type="dxa"/>
            <w:gridSpan w:val="3"/>
            <w:tcBorders>
              <w:top w:val="single" w:sz="4" w:space="0" w:color="000000"/>
              <w:left w:val="nil"/>
              <w:bottom w:val="single" w:sz="4" w:space="0" w:color="000000"/>
              <w:right w:val="single" w:sz="4" w:space="0" w:color="000000"/>
            </w:tcBorders>
            <w:shd w:val="clear" w:color="auto" w:fill="EAF1DD"/>
          </w:tcPr>
          <w:p w14:paraId="3D1541A7" w14:textId="76A25CE3" w:rsidR="000A2305" w:rsidRDefault="00000000">
            <w:pPr>
              <w:spacing w:after="0" w:line="240" w:lineRule="auto"/>
              <w:ind w:left="0" w:hanging="2"/>
              <w:jc w:val="right"/>
              <w:rPr>
                <w:rFonts w:ascii="Arial" w:eastAsia="Arial" w:hAnsi="Arial" w:cs="Arial"/>
                <w:color w:val="000000"/>
                <w:sz w:val="18"/>
                <w:szCs w:val="18"/>
              </w:rPr>
            </w:pPr>
            <w:r>
              <w:rPr>
                <w:rFonts w:ascii="Arial" w:eastAsia="Arial" w:hAnsi="Arial" w:cs="Arial"/>
                <w:color w:val="000000"/>
                <w:sz w:val="18"/>
                <w:szCs w:val="18"/>
              </w:rPr>
              <w:t>202</w:t>
            </w:r>
            <w:r w:rsidR="001C1F83">
              <w:rPr>
                <w:rFonts w:ascii="Arial" w:eastAsia="Arial" w:hAnsi="Arial" w:cs="Arial"/>
                <w:sz w:val="18"/>
                <w:szCs w:val="18"/>
              </w:rPr>
              <w:t>4</w:t>
            </w:r>
          </w:p>
        </w:tc>
        <w:tc>
          <w:tcPr>
            <w:tcW w:w="1013" w:type="dxa"/>
            <w:tcBorders>
              <w:top w:val="nil"/>
              <w:left w:val="nil"/>
              <w:bottom w:val="nil"/>
              <w:right w:val="nil"/>
            </w:tcBorders>
            <w:shd w:val="clear" w:color="auto" w:fill="FFFFFF"/>
          </w:tcPr>
          <w:p w14:paraId="7384677A" w14:textId="77777777" w:rsidR="000A2305" w:rsidRDefault="00000000">
            <w:pPr>
              <w:spacing w:after="0" w:line="240" w:lineRule="auto"/>
              <w:ind w:left="0" w:hanging="2"/>
              <w:rPr>
                <w:rFonts w:ascii="Arial" w:eastAsia="Arial" w:hAnsi="Arial" w:cs="Arial"/>
                <w:color w:val="000000"/>
                <w:sz w:val="18"/>
                <w:szCs w:val="18"/>
              </w:rPr>
            </w:pPr>
            <w:r>
              <w:rPr>
                <w:rFonts w:ascii="Arial" w:eastAsia="Arial" w:hAnsi="Arial" w:cs="Arial"/>
                <w:color w:val="000000"/>
                <w:sz w:val="18"/>
                <w:szCs w:val="18"/>
              </w:rPr>
              <w:t> </w:t>
            </w:r>
          </w:p>
        </w:tc>
        <w:tc>
          <w:tcPr>
            <w:tcW w:w="915" w:type="dxa"/>
            <w:tcBorders>
              <w:top w:val="nil"/>
              <w:left w:val="nil"/>
              <w:bottom w:val="nil"/>
              <w:right w:val="nil"/>
            </w:tcBorders>
            <w:shd w:val="clear" w:color="auto" w:fill="FFFFFF"/>
          </w:tcPr>
          <w:p w14:paraId="39829BEC" w14:textId="77777777" w:rsidR="000A2305" w:rsidRDefault="00000000">
            <w:pPr>
              <w:spacing w:after="0" w:line="240" w:lineRule="auto"/>
              <w:ind w:left="0" w:hanging="2"/>
              <w:rPr>
                <w:rFonts w:ascii="Arial" w:eastAsia="Arial" w:hAnsi="Arial" w:cs="Arial"/>
                <w:color w:val="000000"/>
                <w:sz w:val="18"/>
                <w:szCs w:val="18"/>
              </w:rPr>
            </w:pPr>
            <w:r>
              <w:rPr>
                <w:rFonts w:ascii="Arial" w:eastAsia="Arial" w:hAnsi="Arial" w:cs="Arial"/>
                <w:color w:val="000000"/>
                <w:sz w:val="18"/>
                <w:szCs w:val="18"/>
              </w:rPr>
              <w:t> </w:t>
            </w:r>
          </w:p>
        </w:tc>
      </w:tr>
      <w:tr w:rsidR="000A2305" w14:paraId="4286BD59" w14:textId="77777777">
        <w:trPr>
          <w:trHeight w:val="120"/>
        </w:trPr>
        <w:tc>
          <w:tcPr>
            <w:tcW w:w="9040" w:type="dxa"/>
            <w:gridSpan w:val="7"/>
            <w:tcBorders>
              <w:top w:val="nil"/>
              <w:left w:val="nil"/>
              <w:bottom w:val="nil"/>
              <w:right w:val="nil"/>
            </w:tcBorders>
            <w:shd w:val="clear" w:color="auto" w:fill="FFFFFF"/>
          </w:tcPr>
          <w:p w14:paraId="5A532386" w14:textId="77777777" w:rsidR="000A2305" w:rsidRDefault="00000000">
            <w:pPr>
              <w:spacing w:after="0" w:line="240" w:lineRule="auto"/>
              <w:ind w:left="0" w:hanging="2"/>
              <w:jc w:val="center"/>
              <w:rPr>
                <w:rFonts w:ascii="Arial" w:eastAsia="Arial" w:hAnsi="Arial" w:cs="Arial"/>
                <w:color w:val="000000"/>
                <w:sz w:val="18"/>
                <w:szCs w:val="18"/>
              </w:rPr>
            </w:pPr>
            <w:r>
              <w:rPr>
                <w:rFonts w:ascii="Arial" w:eastAsia="Arial" w:hAnsi="Arial" w:cs="Arial"/>
                <w:color w:val="000000"/>
                <w:sz w:val="18"/>
                <w:szCs w:val="18"/>
              </w:rPr>
              <w:t> </w:t>
            </w:r>
          </w:p>
        </w:tc>
      </w:tr>
      <w:tr w:rsidR="000A2305" w14:paraId="1588FFAE" w14:textId="77777777">
        <w:trPr>
          <w:trHeight w:val="240"/>
        </w:trPr>
        <w:tc>
          <w:tcPr>
            <w:tcW w:w="4163" w:type="dxa"/>
            <w:gridSpan w:val="2"/>
            <w:tcBorders>
              <w:top w:val="nil"/>
              <w:left w:val="nil"/>
              <w:bottom w:val="nil"/>
              <w:right w:val="nil"/>
            </w:tcBorders>
            <w:shd w:val="clear" w:color="auto" w:fill="FFFFFF"/>
          </w:tcPr>
          <w:p w14:paraId="461AC7DD" w14:textId="77777777" w:rsidR="000A2305" w:rsidRDefault="00000000">
            <w:pPr>
              <w:spacing w:after="0" w:line="240" w:lineRule="auto"/>
              <w:ind w:left="0" w:hanging="2"/>
              <w:rPr>
                <w:rFonts w:ascii="Arial" w:eastAsia="Arial" w:hAnsi="Arial" w:cs="Arial"/>
                <w:color w:val="000000"/>
                <w:sz w:val="18"/>
                <w:szCs w:val="18"/>
              </w:rPr>
            </w:pPr>
            <w:r>
              <w:rPr>
                <w:rFonts w:ascii="Arial" w:eastAsia="Arial" w:hAnsi="Arial" w:cs="Arial"/>
                <w:color w:val="000000"/>
                <w:sz w:val="18"/>
                <w:szCs w:val="18"/>
              </w:rPr>
              <w:t>Página Web:</w:t>
            </w:r>
          </w:p>
        </w:tc>
        <w:tc>
          <w:tcPr>
            <w:tcW w:w="4877" w:type="dxa"/>
            <w:gridSpan w:val="5"/>
            <w:tcBorders>
              <w:top w:val="single" w:sz="4" w:space="0" w:color="000000"/>
              <w:left w:val="single" w:sz="4" w:space="0" w:color="000000"/>
              <w:bottom w:val="single" w:sz="4" w:space="0" w:color="000000"/>
              <w:right w:val="single" w:sz="4" w:space="0" w:color="000000"/>
            </w:tcBorders>
            <w:shd w:val="clear" w:color="auto" w:fill="EAF1DD"/>
          </w:tcPr>
          <w:p w14:paraId="0C723C89" w14:textId="77777777" w:rsidR="000A2305" w:rsidRDefault="00000000">
            <w:pPr>
              <w:spacing w:after="0" w:line="240" w:lineRule="auto"/>
              <w:ind w:left="0" w:hanging="2"/>
              <w:rPr>
                <w:rFonts w:ascii="Arial" w:eastAsia="Arial" w:hAnsi="Arial" w:cs="Arial"/>
                <w:color w:val="000000"/>
                <w:sz w:val="18"/>
                <w:szCs w:val="18"/>
              </w:rPr>
            </w:pPr>
            <w:r>
              <w:rPr>
                <w:rFonts w:ascii="Arial" w:eastAsia="Arial" w:hAnsi="Arial" w:cs="Arial"/>
                <w:color w:val="000000"/>
                <w:sz w:val="18"/>
                <w:szCs w:val="18"/>
              </w:rPr>
              <w:t>http://www.bancomercio.com</w:t>
            </w:r>
          </w:p>
        </w:tc>
      </w:tr>
      <w:tr w:rsidR="000A2305" w14:paraId="09FDF963" w14:textId="77777777">
        <w:trPr>
          <w:trHeight w:val="150"/>
        </w:trPr>
        <w:tc>
          <w:tcPr>
            <w:tcW w:w="9040" w:type="dxa"/>
            <w:gridSpan w:val="7"/>
            <w:tcBorders>
              <w:top w:val="nil"/>
              <w:left w:val="nil"/>
              <w:bottom w:val="nil"/>
              <w:right w:val="nil"/>
            </w:tcBorders>
            <w:shd w:val="clear" w:color="auto" w:fill="FFFFFF"/>
          </w:tcPr>
          <w:p w14:paraId="43C57A9F" w14:textId="77777777" w:rsidR="000A2305" w:rsidRDefault="00000000">
            <w:pPr>
              <w:spacing w:after="0" w:line="240" w:lineRule="auto"/>
              <w:ind w:left="0" w:hanging="2"/>
              <w:jc w:val="center"/>
              <w:rPr>
                <w:rFonts w:ascii="Arial" w:eastAsia="Arial" w:hAnsi="Arial" w:cs="Arial"/>
                <w:color w:val="000000"/>
                <w:sz w:val="18"/>
                <w:szCs w:val="18"/>
              </w:rPr>
            </w:pPr>
            <w:r>
              <w:rPr>
                <w:rFonts w:ascii="Arial" w:eastAsia="Arial" w:hAnsi="Arial" w:cs="Arial"/>
                <w:color w:val="000000"/>
                <w:sz w:val="18"/>
                <w:szCs w:val="18"/>
              </w:rPr>
              <w:t> </w:t>
            </w:r>
          </w:p>
        </w:tc>
      </w:tr>
      <w:tr w:rsidR="000A2305" w14:paraId="4A0388EE" w14:textId="77777777">
        <w:trPr>
          <w:trHeight w:val="615"/>
        </w:trPr>
        <w:tc>
          <w:tcPr>
            <w:tcW w:w="4163" w:type="dxa"/>
            <w:gridSpan w:val="2"/>
            <w:tcBorders>
              <w:top w:val="nil"/>
              <w:left w:val="nil"/>
              <w:bottom w:val="nil"/>
              <w:right w:val="nil"/>
            </w:tcBorders>
            <w:shd w:val="clear" w:color="auto" w:fill="FFFFFF"/>
            <w:vAlign w:val="center"/>
          </w:tcPr>
          <w:p w14:paraId="6F54F359" w14:textId="77777777" w:rsidR="000A2305" w:rsidRDefault="00000000">
            <w:pPr>
              <w:spacing w:after="0" w:line="240" w:lineRule="auto"/>
              <w:ind w:left="0" w:hanging="2"/>
              <w:rPr>
                <w:rFonts w:ascii="Arial" w:eastAsia="Arial" w:hAnsi="Arial" w:cs="Arial"/>
                <w:color w:val="000000"/>
                <w:sz w:val="18"/>
                <w:szCs w:val="18"/>
              </w:rPr>
            </w:pPr>
            <w:r>
              <w:rPr>
                <w:rFonts w:ascii="Arial" w:eastAsia="Arial" w:hAnsi="Arial" w:cs="Arial"/>
                <w:color w:val="000000"/>
                <w:sz w:val="18"/>
                <w:szCs w:val="18"/>
              </w:rPr>
              <w:t>Denominación o razón social de la empresa revisora: (1)</w:t>
            </w:r>
          </w:p>
        </w:tc>
        <w:tc>
          <w:tcPr>
            <w:tcW w:w="4877" w:type="dxa"/>
            <w:gridSpan w:val="5"/>
            <w:tcBorders>
              <w:top w:val="single" w:sz="4" w:space="0" w:color="000000"/>
              <w:left w:val="single" w:sz="4" w:space="0" w:color="000000"/>
              <w:bottom w:val="single" w:sz="4" w:space="0" w:color="000000"/>
              <w:right w:val="single" w:sz="4" w:space="0" w:color="000000"/>
            </w:tcBorders>
            <w:shd w:val="clear" w:color="auto" w:fill="EAF1DD"/>
          </w:tcPr>
          <w:p w14:paraId="290899DD" w14:textId="77777777" w:rsidR="000A2305" w:rsidRDefault="00000000">
            <w:pPr>
              <w:spacing w:after="0" w:line="240" w:lineRule="auto"/>
              <w:ind w:left="0" w:hanging="2"/>
              <w:rPr>
                <w:rFonts w:ascii="Arial" w:eastAsia="Arial" w:hAnsi="Arial" w:cs="Arial"/>
                <w:color w:val="000000"/>
                <w:sz w:val="18"/>
                <w:szCs w:val="18"/>
              </w:rPr>
            </w:pPr>
            <w:r>
              <w:rPr>
                <w:rFonts w:ascii="Arial" w:eastAsia="Arial" w:hAnsi="Arial" w:cs="Arial"/>
                <w:color w:val="000000"/>
                <w:sz w:val="18"/>
                <w:szCs w:val="18"/>
              </w:rPr>
              <w:t> </w:t>
            </w:r>
          </w:p>
        </w:tc>
      </w:tr>
      <w:tr w:rsidR="000A2305" w14:paraId="152740E0" w14:textId="77777777">
        <w:trPr>
          <w:trHeight w:val="225"/>
        </w:trPr>
        <w:tc>
          <w:tcPr>
            <w:tcW w:w="3538" w:type="dxa"/>
            <w:tcBorders>
              <w:top w:val="nil"/>
              <w:left w:val="nil"/>
              <w:bottom w:val="nil"/>
              <w:right w:val="nil"/>
            </w:tcBorders>
            <w:shd w:val="clear" w:color="auto" w:fill="FFFFFF"/>
          </w:tcPr>
          <w:p w14:paraId="04A8DD8B" w14:textId="77777777" w:rsidR="000A2305" w:rsidRDefault="00000000">
            <w:pPr>
              <w:spacing w:after="0" w:line="240" w:lineRule="auto"/>
              <w:ind w:left="0" w:hanging="2"/>
              <w:rPr>
                <w:rFonts w:ascii="Arial" w:eastAsia="Arial" w:hAnsi="Arial" w:cs="Arial"/>
                <w:color w:val="000000"/>
                <w:sz w:val="18"/>
                <w:szCs w:val="18"/>
              </w:rPr>
            </w:pPr>
            <w:r>
              <w:rPr>
                <w:rFonts w:ascii="Arial" w:eastAsia="Arial" w:hAnsi="Arial" w:cs="Arial"/>
                <w:color w:val="000000"/>
                <w:sz w:val="18"/>
                <w:szCs w:val="18"/>
              </w:rPr>
              <w:t> </w:t>
            </w:r>
          </w:p>
        </w:tc>
        <w:tc>
          <w:tcPr>
            <w:tcW w:w="625" w:type="dxa"/>
            <w:tcBorders>
              <w:top w:val="nil"/>
              <w:left w:val="nil"/>
              <w:bottom w:val="nil"/>
              <w:right w:val="nil"/>
            </w:tcBorders>
            <w:shd w:val="clear" w:color="auto" w:fill="FFFFFF"/>
          </w:tcPr>
          <w:p w14:paraId="5D47D11F" w14:textId="77777777" w:rsidR="000A2305" w:rsidRDefault="00000000">
            <w:pPr>
              <w:spacing w:after="0" w:line="240" w:lineRule="auto"/>
              <w:ind w:left="0" w:hanging="2"/>
              <w:rPr>
                <w:rFonts w:ascii="Arial" w:eastAsia="Arial" w:hAnsi="Arial" w:cs="Arial"/>
                <w:color w:val="000000"/>
                <w:sz w:val="18"/>
                <w:szCs w:val="18"/>
              </w:rPr>
            </w:pPr>
            <w:r>
              <w:rPr>
                <w:rFonts w:ascii="Arial" w:eastAsia="Arial" w:hAnsi="Arial" w:cs="Arial"/>
                <w:color w:val="000000"/>
                <w:sz w:val="18"/>
                <w:szCs w:val="18"/>
              </w:rPr>
              <w:t> </w:t>
            </w:r>
          </w:p>
        </w:tc>
        <w:tc>
          <w:tcPr>
            <w:tcW w:w="1063" w:type="dxa"/>
            <w:tcBorders>
              <w:top w:val="nil"/>
              <w:left w:val="nil"/>
              <w:bottom w:val="nil"/>
              <w:right w:val="nil"/>
            </w:tcBorders>
            <w:shd w:val="clear" w:color="auto" w:fill="FFFFFF"/>
          </w:tcPr>
          <w:p w14:paraId="272E71DF" w14:textId="77777777" w:rsidR="000A2305" w:rsidRDefault="00000000">
            <w:pPr>
              <w:spacing w:after="0" w:line="240" w:lineRule="auto"/>
              <w:ind w:left="0" w:hanging="2"/>
              <w:rPr>
                <w:rFonts w:ascii="Arial" w:eastAsia="Arial" w:hAnsi="Arial" w:cs="Arial"/>
                <w:color w:val="000000"/>
                <w:sz w:val="18"/>
                <w:szCs w:val="18"/>
              </w:rPr>
            </w:pPr>
            <w:r>
              <w:rPr>
                <w:rFonts w:ascii="Arial" w:eastAsia="Arial" w:hAnsi="Arial" w:cs="Arial"/>
                <w:color w:val="000000"/>
                <w:sz w:val="18"/>
                <w:szCs w:val="18"/>
              </w:rPr>
              <w:t> </w:t>
            </w:r>
          </w:p>
        </w:tc>
        <w:tc>
          <w:tcPr>
            <w:tcW w:w="950" w:type="dxa"/>
            <w:tcBorders>
              <w:top w:val="nil"/>
              <w:left w:val="nil"/>
              <w:bottom w:val="nil"/>
              <w:right w:val="nil"/>
            </w:tcBorders>
            <w:shd w:val="clear" w:color="auto" w:fill="FFFFFF"/>
          </w:tcPr>
          <w:p w14:paraId="3BD34929" w14:textId="77777777" w:rsidR="000A2305" w:rsidRDefault="00000000">
            <w:pPr>
              <w:spacing w:after="0" w:line="240" w:lineRule="auto"/>
              <w:ind w:left="0" w:hanging="2"/>
              <w:rPr>
                <w:rFonts w:ascii="Arial" w:eastAsia="Arial" w:hAnsi="Arial" w:cs="Arial"/>
                <w:color w:val="000000"/>
                <w:sz w:val="18"/>
                <w:szCs w:val="18"/>
              </w:rPr>
            </w:pPr>
            <w:r>
              <w:rPr>
                <w:rFonts w:ascii="Arial" w:eastAsia="Arial" w:hAnsi="Arial" w:cs="Arial"/>
                <w:color w:val="000000"/>
                <w:sz w:val="18"/>
                <w:szCs w:val="18"/>
              </w:rPr>
              <w:t> </w:t>
            </w:r>
          </w:p>
        </w:tc>
        <w:tc>
          <w:tcPr>
            <w:tcW w:w="936" w:type="dxa"/>
            <w:tcBorders>
              <w:top w:val="nil"/>
              <w:left w:val="nil"/>
              <w:bottom w:val="nil"/>
              <w:right w:val="nil"/>
            </w:tcBorders>
            <w:shd w:val="clear" w:color="auto" w:fill="FFFFFF"/>
          </w:tcPr>
          <w:p w14:paraId="33AA78DF" w14:textId="77777777" w:rsidR="000A2305" w:rsidRDefault="00000000">
            <w:pPr>
              <w:spacing w:after="0" w:line="240" w:lineRule="auto"/>
              <w:ind w:left="0" w:hanging="2"/>
              <w:rPr>
                <w:rFonts w:ascii="Arial" w:eastAsia="Arial" w:hAnsi="Arial" w:cs="Arial"/>
                <w:color w:val="000000"/>
                <w:sz w:val="18"/>
                <w:szCs w:val="18"/>
              </w:rPr>
            </w:pPr>
            <w:r>
              <w:rPr>
                <w:rFonts w:ascii="Arial" w:eastAsia="Arial" w:hAnsi="Arial" w:cs="Arial"/>
                <w:color w:val="000000"/>
                <w:sz w:val="18"/>
                <w:szCs w:val="18"/>
              </w:rPr>
              <w:t> </w:t>
            </w:r>
          </w:p>
        </w:tc>
        <w:tc>
          <w:tcPr>
            <w:tcW w:w="1013" w:type="dxa"/>
            <w:tcBorders>
              <w:top w:val="nil"/>
              <w:left w:val="nil"/>
              <w:bottom w:val="nil"/>
              <w:right w:val="nil"/>
            </w:tcBorders>
            <w:shd w:val="clear" w:color="auto" w:fill="FFFFFF"/>
          </w:tcPr>
          <w:p w14:paraId="2DEBC7B9" w14:textId="77777777" w:rsidR="000A2305" w:rsidRDefault="00000000">
            <w:pPr>
              <w:spacing w:after="0" w:line="240" w:lineRule="auto"/>
              <w:ind w:left="0" w:hanging="2"/>
              <w:rPr>
                <w:rFonts w:ascii="Arial" w:eastAsia="Arial" w:hAnsi="Arial" w:cs="Arial"/>
                <w:color w:val="000000"/>
                <w:sz w:val="18"/>
                <w:szCs w:val="18"/>
              </w:rPr>
            </w:pPr>
            <w:r>
              <w:rPr>
                <w:rFonts w:ascii="Arial" w:eastAsia="Arial" w:hAnsi="Arial" w:cs="Arial"/>
                <w:color w:val="000000"/>
                <w:sz w:val="18"/>
                <w:szCs w:val="18"/>
              </w:rPr>
              <w:t> </w:t>
            </w:r>
          </w:p>
        </w:tc>
        <w:tc>
          <w:tcPr>
            <w:tcW w:w="915" w:type="dxa"/>
            <w:tcBorders>
              <w:top w:val="nil"/>
              <w:left w:val="nil"/>
              <w:bottom w:val="nil"/>
              <w:right w:val="nil"/>
            </w:tcBorders>
            <w:shd w:val="clear" w:color="auto" w:fill="FFFFFF"/>
          </w:tcPr>
          <w:p w14:paraId="4959CD56" w14:textId="77777777" w:rsidR="000A2305" w:rsidRDefault="00000000">
            <w:pPr>
              <w:spacing w:after="0" w:line="240" w:lineRule="auto"/>
              <w:ind w:left="0" w:hanging="2"/>
              <w:rPr>
                <w:rFonts w:ascii="Arial" w:eastAsia="Arial" w:hAnsi="Arial" w:cs="Arial"/>
                <w:color w:val="000000"/>
                <w:sz w:val="18"/>
                <w:szCs w:val="18"/>
              </w:rPr>
            </w:pPr>
            <w:r>
              <w:rPr>
                <w:rFonts w:ascii="Arial" w:eastAsia="Arial" w:hAnsi="Arial" w:cs="Arial"/>
                <w:color w:val="000000"/>
                <w:sz w:val="18"/>
                <w:szCs w:val="18"/>
              </w:rPr>
              <w:t> </w:t>
            </w:r>
          </w:p>
        </w:tc>
      </w:tr>
      <w:tr w:rsidR="000A2305" w14:paraId="05AA3965" w14:textId="77777777">
        <w:trPr>
          <w:trHeight w:val="300"/>
        </w:trPr>
        <w:tc>
          <w:tcPr>
            <w:tcW w:w="3538" w:type="dxa"/>
            <w:tcBorders>
              <w:top w:val="nil"/>
              <w:left w:val="nil"/>
              <w:bottom w:val="nil"/>
              <w:right w:val="nil"/>
            </w:tcBorders>
            <w:shd w:val="clear" w:color="auto" w:fill="FFFFFF"/>
          </w:tcPr>
          <w:p w14:paraId="1DF082AE" w14:textId="77777777" w:rsidR="000A2305" w:rsidRDefault="00000000">
            <w:pPr>
              <w:spacing w:after="0" w:line="240" w:lineRule="auto"/>
              <w:ind w:left="0" w:hanging="2"/>
              <w:rPr>
                <w:rFonts w:ascii="Arial" w:eastAsia="Arial" w:hAnsi="Arial" w:cs="Arial"/>
                <w:color w:val="000000"/>
                <w:sz w:val="18"/>
                <w:szCs w:val="18"/>
              </w:rPr>
            </w:pPr>
            <w:r>
              <w:rPr>
                <w:rFonts w:ascii="Arial" w:eastAsia="Arial" w:hAnsi="Arial" w:cs="Arial"/>
                <w:color w:val="000000"/>
                <w:sz w:val="18"/>
                <w:szCs w:val="18"/>
              </w:rPr>
              <w:t>RPJ</w:t>
            </w:r>
          </w:p>
        </w:tc>
        <w:tc>
          <w:tcPr>
            <w:tcW w:w="625" w:type="dxa"/>
            <w:tcBorders>
              <w:top w:val="single" w:sz="4" w:space="0" w:color="000000"/>
              <w:left w:val="single" w:sz="4" w:space="0" w:color="000000"/>
              <w:bottom w:val="single" w:sz="4" w:space="0" w:color="000000"/>
              <w:right w:val="single" w:sz="4" w:space="0" w:color="000000"/>
            </w:tcBorders>
            <w:shd w:val="clear" w:color="auto" w:fill="EAF1DD"/>
            <w:vAlign w:val="center"/>
          </w:tcPr>
          <w:p w14:paraId="2ED2149E" w14:textId="77777777" w:rsidR="000A2305" w:rsidRDefault="00000000">
            <w:pPr>
              <w:spacing w:after="0" w:line="240" w:lineRule="auto"/>
              <w:ind w:left="0" w:hanging="2"/>
              <w:rPr>
                <w:rFonts w:ascii="Arial" w:eastAsia="Arial" w:hAnsi="Arial" w:cs="Arial"/>
                <w:color w:val="000000"/>
                <w:sz w:val="18"/>
                <w:szCs w:val="18"/>
              </w:rPr>
            </w:pPr>
            <w:r>
              <w:rPr>
                <w:rFonts w:ascii="Arial" w:eastAsia="Arial" w:hAnsi="Arial" w:cs="Arial"/>
                <w:color w:val="000000"/>
                <w:sz w:val="18"/>
                <w:szCs w:val="18"/>
              </w:rPr>
              <w:t> </w:t>
            </w:r>
          </w:p>
        </w:tc>
        <w:tc>
          <w:tcPr>
            <w:tcW w:w="1063" w:type="dxa"/>
            <w:tcBorders>
              <w:top w:val="nil"/>
              <w:left w:val="nil"/>
              <w:bottom w:val="nil"/>
              <w:right w:val="nil"/>
            </w:tcBorders>
            <w:shd w:val="clear" w:color="auto" w:fill="FFFFFF"/>
          </w:tcPr>
          <w:p w14:paraId="4C6DCF35" w14:textId="77777777" w:rsidR="000A2305" w:rsidRDefault="00000000">
            <w:pPr>
              <w:spacing w:after="0" w:line="240" w:lineRule="auto"/>
              <w:ind w:left="0" w:hanging="2"/>
              <w:rPr>
                <w:rFonts w:ascii="Arial" w:eastAsia="Arial" w:hAnsi="Arial" w:cs="Arial"/>
                <w:color w:val="000000"/>
                <w:sz w:val="18"/>
                <w:szCs w:val="18"/>
              </w:rPr>
            </w:pPr>
            <w:r>
              <w:rPr>
                <w:rFonts w:ascii="Arial" w:eastAsia="Arial" w:hAnsi="Arial" w:cs="Arial"/>
                <w:color w:val="000000"/>
                <w:sz w:val="18"/>
                <w:szCs w:val="18"/>
              </w:rPr>
              <w:t> </w:t>
            </w:r>
          </w:p>
          <w:p w14:paraId="2BB30DFB" w14:textId="77777777" w:rsidR="000A2305" w:rsidRDefault="000A2305">
            <w:pPr>
              <w:spacing w:after="0" w:line="240" w:lineRule="auto"/>
              <w:ind w:left="0" w:hanging="2"/>
              <w:rPr>
                <w:rFonts w:ascii="Arial" w:eastAsia="Arial" w:hAnsi="Arial" w:cs="Arial"/>
                <w:color w:val="000000"/>
                <w:sz w:val="18"/>
                <w:szCs w:val="18"/>
              </w:rPr>
            </w:pPr>
          </w:p>
        </w:tc>
        <w:tc>
          <w:tcPr>
            <w:tcW w:w="950" w:type="dxa"/>
            <w:tcBorders>
              <w:top w:val="nil"/>
              <w:left w:val="nil"/>
              <w:bottom w:val="nil"/>
              <w:right w:val="nil"/>
            </w:tcBorders>
            <w:shd w:val="clear" w:color="auto" w:fill="FFFFFF"/>
          </w:tcPr>
          <w:p w14:paraId="0F2C14FA" w14:textId="77777777" w:rsidR="000A2305" w:rsidRDefault="00000000">
            <w:pPr>
              <w:spacing w:after="0" w:line="240" w:lineRule="auto"/>
              <w:ind w:left="0" w:hanging="2"/>
              <w:rPr>
                <w:rFonts w:ascii="Arial" w:eastAsia="Arial" w:hAnsi="Arial" w:cs="Arial"/>
                <w:color w:val="000000"/>
                <w:sz w:val="18"/>
                <w:szCs w:val="18"/>
              </w:rPr>
            </w:pPr>
            <w:r>
              <w:rPr>
                <w:rFonts w:ascii="Arial" w:eastAsia="Arial" w:hAnsi="Arial" w:cs="Arial"/>
                <w:color w:val="000000"/>
                <w:sz w:val="18"/>
                <w:szCs w:val="18"/>
              </w:rPr>
              <w:t> </w:t>
            </w:r>
          </w:p>
        </w:tc>
        <w:tc>
          <w:tcPr>
            <w:tcW w:w="936" w:type="dxa"/>
            <w:tcBorders>
              <w:top w:val="nil"/>
              <w:left w:val="nil"/>
              <w:bottom w:val="nil"/>
              <w:right w:val="nil"/>
            </w:tcBorders>
            <w:shd w:val="clear" w:color="auto" w:fill="FFFFFF"/>
          </w:tcPr>
          <w:p w14:paraId="292D768A" w14:textId="77777777" w:rsidR="000A2305" w:rsidRDefault="00000000">
            <w:pPr>
              <w:spacing w:after="0" w:line="240" w:lineRule="auto"/>
              <w:ind w:left="0" w:hanging="2"/>
              <w:rPr>
                <w:rFonts w:ascii="Arial" w:eastAsia="Arial" w:hAnsi="Arial" w:cs="Arial"/>
                <w:color w:val="000000"/>
                <w:sz w:val="18"/>
                <w:szCs w:val="18"/>
              </w:rPr>
            </w:pPr>
            <w:r>
              <w:rPr>
                <w:rFonts w:ascii="Arial" w:eastAsia="Arial" w:hAnsi="Arial" w:cs="Arial"/>
                <w:color w:val="000000"/>
                <w:sz w:val="18"/>
                <w:szCs w:val="18"/>
              </w:rPr>
              <w:t> </w:t>
            </w:r>
          </w:p>
        </w:tc>
        <w:tc>
          <w:tcPr>
            <w:tcW w:w="1013" w:type="dxa"/>
            <w:tcBorders>
              <w:top w:val="nil"/>
              <w:left w:val="nil"/>
              <w:bottom w:val="nil"/>
              <w:right w:val="nil"/>
            </w:tcBorders>
            <w:shd w:val="clear" w:color="auto" w:fill="FFFFFF"/>
          </w:tcPr>
          <w:p w14:paraId="50295D0E" w14:textId="77777777" w:rsidR="000A2305" w:rsidRDefault="00000000">
            <w:pPr>
              <w:spacing w:after="0" w:line="240" w:lineRule="auto"/>
              <w:ind w:left="0" w:hanging="2"/>
              <w:rPr>
                <w:rFonts w:ascii="Arial" w:eastAsia="Arial" w:hAnsi="Arial" w:cs="Arial"/>
                <w:color w:val="000000"/>
                <w:sz w:val="18"/>
                <w:szCs w:val="18"/>
              </w:rPr>
            </w:pPr>
            <w:r>
              <w:rPr>
                <w:rFonts w:ascii="Arial" w:eastAsia="Arial" w:hAnsi="Arial" w:cs="Arial"/>
                <w:color w:val="000000"/>
                <w:sz w:val="18"/>
                <w:szCs w:val="18"/>
              </w:rPr>
              <w:t> </w:t>
            </w:r>
          </w:p>
        </w:tc>
        <w:tc>
          <w:tcPr>
            <w:tcW w:w="915" w:type="dxa"/>
            <w:tcBorders>
              <w:top w:val="nil"/>
              <w:left w:val="nil"/>
              <w:bottom w:val="nil"/>
              <w:right w:val="nil"/>
            </w:tcBorders>
            <w:shd w:val="clear" w:color="auto" w:fill="FFFFFF"/>
          </w:tcPr>
          <w:p w14:paraId="5DE3C284" w14:textId="77777777" w:rsidR="000A2305" w:rsidRDefault="00000000">
            <w:pPr>
              <w:spacing w:after="0" w:line="240" w:lineRule="auto"/>
              <w:ind w:left="0" w:hanging="2"/>
              <w:rPr>
                <w:rFonts w:ascii="Arial" w:eastAsia="Arial" w:hAnsi="Arial" w:cs="Arial"/>
                <w:color w:val="000000"/>
                <w:sz w:val="18"/>
                <w:szCs w:val="18"/>
              </w:rPr>
            </w:pPr>
            <w:r>
              <w:rPr>
                <w:rFonts w:ascii="Arial" w:eastAsia="Arial" w:hAnsi="Arial" w:cs="Arial"/>
                <w:color w:val="000000"/>
                <w:sz w:val="18"/>
                <w:szCs w:val="18"/>
              </w:rPr>
              <w:t> </w:t>
            </w:r>
          </w:p>
        </w:tc>
      </w:tr>
      <w:tr w:rsidR="000A2305" w14:paraId="526FFB2E" w14:textId="77777777">
        <w:trPr>
          <w:trHeight w:val="70"/>
        </w:trPr>
        <w:tc>
          <w:tcPr>
            <w:tcW w:w="9040" w:type="dxa"/>
            <w:gridSpan w:val="7"/>
            <w:tcBorders>
              <w:top w:val="nil"/>
              <w:left w:val="nil"/>
              <w:bottom w:val="nil"/>
              <w:right w:val="nil"/>
            </w:tcBorders>
            <w:shd w:val="clear" w:color="auto" w:fill="FFFFFF"/>
          </w:tcPr>
          <w:p w14:paraId="6E687955" w14:textId="77777777" w:rsidR="000A2305" w:rsidRDefault="000A2305">
            <w:pPr>
              <w:spacing w:after="0" w:line="240" w:lineRule="auto"/>
              <w:ind w:left="0" w:hanging="2"/>
              <w:rPr>
                <w:rFonts w:ascii="Arial" w:eastAsia="Arial" w:hAnsi="Arial" w:cs="Arial"/>
                <w:sz w:val="18"/>
                <w:szCs w:val="18"/>
              </w:rPr>
            </w:pPr>
          </w:p>
          <w:p w14:paraId="3903A113" w14:textId="77777777" w:rsidR="000A2305" w:rsidRDefault="00000000">
            <w:pPr>
              <w:spacing w:after="0" w:line="240" w:lineRule="auto"/>
              <w:ind w:left="0" w:hanging="2"/>
              <w:rPr>
                <w:rFonts w:ascii="Arial" w:eastAsia="Arial" w:hAnsi="Arial" w:cs="Arial"/>
                <w:color w:val="000000"/>
                <w:sz w:val="18"/>
                <w:szCs w:val="18"/>
              </w:rPr>
            </w:pPr>
            <w:r>
              <w:rPr>
                <w:rFonts w:ascii="Arial" w:eastAsia="Arial" w:hAnsi="Arial" w:cs="Arial"/>
                <w:color w:val="000000"/>
                <w:sz w:val="18"/>
                <w:szCs w:val="18"/>
              </w:rPr>
              <w:t>(1) Solo es aplicable en el caso en que la información contenida en el presente informe haya sido revisada por alguna empresa especializada (por ejemplo: sociedad de auditoría o empresa de consultoría).</w:t>
            </w:r>
          </w:p>
          <w:p w14:paraId="5B471EA8" w14:textId="77777777" w:rsidR="000A2305" w:rsidRDefault="000A2305">
            <w:pPr>
              <w:spacing w:after="0" w:line="240" w:lineRule="auto"/>
              <w:ind w:left="0" w:hanging="2"/>
              <w:rPr>
                <w:rFonts w:ascii="Arial" w:eastAsia="Arial" w:hAnsi="Arial" w:cs="Arial"/>
                <w:sz w:val="18"/>
                <w:szCs w:val="18"/>
              </w:rPr>
            </w:pPr>
          </w:p>
        </w:tc>
      </w:tr>
    </w:tbl>
    <w:p w14:paraId="2D03FFFC" w14:textId="77777777" w:rsidR="000A2305" w:rsidRDefault="00000000">
      <w:pPr>
        <w:spacing w:after="120"/>
        <w:ind w:left="0" w:hanging="2"/>
        <w:rPr>
          <w:rFonts w:ascii="Arial" w:eastAsia="Arial" w:hAnsi="Arial" w:cs="Arial"/>
          <w:color w:val="002060"/>
          <w:sz w:val="20"/>
          <w:szCs w:val="20"/>
          <w:u w:val="single"/>
        </w:rPr>
      </w:pPr>
      <w:r>
        <w:rPr>
          <w:rFonts w:ascii="Arial" w:eastAsia="Arial" w:hAnsi="Arial" w:cs="Arial"/>
          <w:b/>
          <w:color w:val="002060"/>
          <w:sz w:val="20"/>
          <w:szCs w:val="20"/>
          <w:u w:val="single"/>
        </w:rPr>
        <w:t>METODOLOGÍA</w:t>
      </w:r>
      <w:r>
        <w:rPr>
          <w:rFonts w:ascii="Arial" w:eastAsia="Arial" w:hAnsi="Arial" w:cs="Arial"/>
          <w:b/>
          <w:color w:val="002060"/>
          <w:sz w:val="20"/>
          <w:szCs w:val="20"/>
        </w:rPr>
        <w:t>:</w:t>
      </w:r>
    </w:p>
    <w:p w14:paraId="0D802C15" w14:textId="77777777" w:rsidR="000A2305" w:rsidRDefault="00000000">
      <w:pPr>
        <w:spacing w:before="120" w:after="120"/>
        <w:ind w:left="0" w:right="-283" w:hanging="2"/>
        <w:jc w:val="both"/>
        <w:rPr>
          <w:rFonts w:ascii="Arial" w:eastAsia="Arial" w:hAnsi="Arial" w:cs="Arial"/>
          <w:sz w:val="20"/>
          <w:szCs w:val="20"/>
        </w:rPr>
      </w:pPr>
      <w:r>
        <w:rPr>
          <w:rFonts w:ascii="Arial" w:eastAsia="Arial" w:hAnsi="Arial" w:cs="Arial"/>
          <w:sz w:val="20"/>
          <w:szCs w:val="20"/>
        </w:rPr>
        <w:t xml:space="preserve">Las sociedades que cuentan con valores inscritos en el Registro Público del Mercado de Valores tienen la obligación de difundir al público sus prácticas de buen gobierno corporativo, para tales efectos, reportan su adhesión a los principios contenidos en el </w:t>
      </w:r>
      <w:r>
        <w:rPr>
          <w:rFonts w:ascii="Arial" w:eastAsia="Arial" w:hAnsi="Arial" w:cs="Arial"/>
          <w:i/>
          <w:sz w:val="20"/>
          <w:szCs w:val="20"/>
        </w:rPr>
        <w:t>Código de Buen Gobierno Corporativo para las Sociedades Peruanas</w:t>
      </w:r>
      <w:r>
        <w:rPr>
          <w:rFonts w:ascii="Arial" w:eastAsia="Arial" w:hAnsi="Arial" w:cs="Arial"/>
          <w:i/>
          <w:sz w:val="20"/>
          <w:szCs w:val="20"/>
          <w:vertAlign w:val="superscript"/>
        </w:rPr>
        <w:footnoteReference w:id="1"/>
      </w:r>
      <w:r>
        <w:rPr>
          <w:rFonts w:ascii="Arial" w:eastAsia="Arial" w:hAnsi="Arial" w:cs="Arial"/>
          <w:sz w:val="20"/>
          <w:szCs w:val="20"/>
        </w:rPr>
        <w:t>.</w:t>
      </w:r>
    </w:p>
    <w:p w14:paraId="0927EAB0" w14:textId="77777777" w:rsidR="000A2305" w:rsidRDefault="00000000">
      <w:pPr>
        <w:spacing w:before="120" w:after="120"/>
        <w:ind w:left="0" w:right="-283" w:hanging="2"/>
        <w:jc w:val="both"/>
        <w:rPr>
          <w:rFonts w:ascii="Arial" w:eastAsia="Arial" w:hAnsi="Arial" w:cs="Arial"/>
          <w:sz w:val="20"/>
          <w:szCs w:val="20"/>
        </w:rPr>
      </w:pPr>
      <w:r>
        <w:rPr>
          <w:rFonts w:ascii="Arial" w:eastAsia="Arial" w:hAnsi="Arial" w:cs="Arial"/>
          <w:sz w:val="20"/>
          <w:szCs w:val="20"/>
        </w:rPr>
        <w:t>La información a presentar está referida al ejercicio culminado el 31 de diciembre del año calendario anterior al de su envío, por lo que toda referencia a “el ejercicio” debe entenderse al período antes indicado, y se remite como un anexo de la Memoria Anual de la Sociedad bajo los formatos electrónicos que la Superintendencia del Mercado de Valores (SMV) establece para facilitar la remisión de la información del presente reporte a través del Sistema MVnet.</w:t>
      </w:r>
    </w:p>
    <w:p w14:paraId="5B63193C" w14:textId="77777777" w:rsidR="000A2305" w:rsidRDefault="00000000">
      <w:pPr>
        <w:spacing w:before="120" w:after="120"/>
        <w:ind w:left="0" w:right="-283" w:hanging="2"/>
        <w:jc w:val="both"/>
        <w:rPr>
          <w:rFonts w:ascii="Arial" w:eastAsia="Arial" w:hAnsi="Arial" w:cs="Arial"/>
          <w:sz w:val="20"/>
          <w:szCs w:val="20"/>
        </w:rPr>
      </w:pPr>
      <w:r>
        <w:rPr>
          <w:rFonts w:ascii="Arial" w:eastAsia="Arial" w:hAnsi="Arial" w:cs="Arial"/>
          <w:sz w:val="20"/>
          <w:szCs w:val="20"/>
        </w:rPr>
        <w:t xml:space="preserve">En la </w:t>
      </w:r>
      <w:r>
        <w:rPr>
          <w:rFonts w:ascii="Arial" w:eastAsia="Arial" w:hAnsi="Arial" w:cs="Arial"/>
          <w:b/>
          <w:sz w:val="20"/>
          <w:szCs w:val="20"/>
        </w:rPr>
        <w:t>Sección A</w:t>
      </w:r>
      <w:r>
        <w:rPr>
          <w:rFonts w:ascii="Arial" w:eastAsia="Arial" w:hAnsi="Arial" w:cs="Arial"/>
          <w:sz w:val="20"/>
          <w:szCs w:val="20"/>
        </w:rPr>
        <w:t>, se incluye carta de presentación de la Sociedad en donde se destacan los principales avances en materia de gobierno corporativo alcanzados en el ejercicio.</w:t>
      </w:r>
    </w:p>
    <w:p w14:paraId="03CBEE97" w14:textId="77777777" w:rsidR="000A2305" w:rsidRDefault="00000000">
      <w:pPr>
        <w:spacing w:before="120" w:after="120"/>
        <w:ind w:left="0" w:right="-283" w:hanging="2"/>
        <w:jc w:val="both"/>
        <w:rPr>
          <w:rFonts w:ascii="Arial" w:eastAsia="Arial" w:hAnsi="Arial" w:cs="Arial"/>
          <w:sz w:val="20"/>
          <w:szCs w:val="20"/>
        </w:rPr>
      </w:pPr>
      <w:r>
        <w:rPr>
          <w:rFonts w:ascii="Arial" w:eastAsia="Arial" w:hAnsi="Arial" w:cs="Arial"/>
          <w:sz w:val="20"/>
          <w:szCs w:val="20"/>
        </w:rPr>
        <w:t xml:space="preserve">En la </w:t>
      </w:r>
      <w:r>
        <w:rPr>
          <w:rFonts w:ascii="Arial" w:eastAsia="Arial" w:hAnsi="Arial" w:cs="Arial"/>
          <w:b/>
          <w:sz w:val="20"/>
          <w:szCs w:val="20"/>
        </w:rPr>
        <w:t>Sección B</w:t>
      </w:r>
      <w:r>
        <w:rPr>
          <w:rFonts w:ascii="Arial" w:eastAsia="Arial" w:hAnsi="Arial" w:cs="Arial"/>
          <w:sz w:val="20"/>
          <w:szCs w:val="20"/>
        </w:rPr>
        <w:t>, se revela el grado de cumplimiento de los principios que componen el Código. Para dicho fin, el Reporte se encuentra estructurado en concordancia con los cinco pilares que lo conforman:</w:t>
      </w:r>
    </w:p>
    <w:p w14:paraId="418CB786" w14:textId="77777777" w:rsidR="000A2305" w:rsidRDefault="00000000">
      <w:pPr>
        <w:spacing w:before="40" w:after="40"/>
        <w:ind w:left="0" w:right="-283" w:hanging="2"/>
        <w:rPr>
          <w:rFonts w:ascii="Arial" w:eastAsia="Arial" w:hAnsi="Arial" w:cs="Arial"/>
          <w:sz w:val="20"/>
          <w:szCs w:val="20"/>
        </w:rPr>
      </w:pPr>
      <w:r>
        <w:rPr>
          <w:rFonts w:ascii="Arial" w:eastAsia="Arial" w:hAnsi="Arial" w:cs="Arial"/>
          <w:sz w:val="20"/>
          <w:szCs w:val="20"/>
        </w:rPr>
        <w:t>I.</w:t>
      </w:r>
      <w:r>
        <w:rPr>
          <w:rFonts w:ascii="Arial" w:eastAsia="Arial" w:hAnsi="Arial" w:cs="Arial"/>
          <w:sz w:val="20"/>
          <w:szCs w:val="20"/>
        </w:rPr>
        <w:tab/>
        <w:t>Derechos de los accionistas;</w:t>
      </w:r>
    </w:p>
    <w:p w14:paraId="4E697103" w14:textId="77777777" w:rsidR="000A2305" w:rsidRDefault="00000000">
      <w:pPr>
        <w:spacing w:before="40" w:after="40"/>
        <w:ind w:left="0" w:right="-283" w:hanging="2"/>
        <w:rPr>
          <w:rFonts w:ascii="Arial" w:eastAsia="Arial" w:hAnsi="Arial" w:cs="Arial"/>
          <w:sz w:val="20"/>
          <w:szCs w:val="20"/>
        </w:rPr>
      </w:pPr>
      <w:r>
        <w:rPr>
          <w:rFonts w:ascii="Arial" w:eastAsia="Arial" w:hAnsi="Arial" w:cs="Arial"/>
          <w:sz w:val="20"/>
          <w:szCs w:val="20"/>
        </w:rPr>
        <w:t>II.</w:t>
      </w:r>
      <w:r>
        <w:rPr>
          <w:rFonts w:ascii="Arial" w:eastAsia="Arial" w:hAnsi="Arial" w:cs="Arial"/>
          <w:sz w:val="20"/>
          <w:szCs w:val="20"/>
        </w:rPr>
        <w:tab/>
        <w:t>Junta General de Accionistas;</w:t>
      </w:r>
    </w:p>
    <w:p w14:paraId="3E21580E" w14:textId="77777777" w:rsidR="000A2305" w:rsidRDefault="00000000">
      <w:pPr>
        <w:spacing w:before="40" w:after="40"/>
        <w:ind w:left="0" w:right="-283" w:hanging="2"/>
        <w:rPr>
          <w:rFonts w:ascii="Arial" w:eastAsia="Arial" w:hAnsi="Arial" w:cs="Arial"/>
          <w:sz w:val="20"/>
          <w:szCs w:val="20"/>
        </w:rPr>
      </w:pPr>
      <w:r>
        <w:rPr>
          <w:rFonts w:ascii="Arial" w:eastAsia="Arial" w:hAnsi="Arial" w:cs="Arial"/>
          <w:sz w:val="20"/>
          <w:szCs w:val="20"/>
        </w:rPr>
        <w:t>III.</w:t>
      </w:r>
      <w:r>
        <w:rPr>
          <w:rFonts w:ascii="Arial" w:eastAsia="Arial" w:hAnsi="Arial" w:cs="Arial"/>
          <w:sz w:val="20"/>
          <w:szCs w:val="20"/>
        </w:rPr>
        <w:tab/>
        <w:t>Directorio y Alta Gerencia</w:t>
      </w:r>
      <w:r>
        <w:rPr>
          <w:rFonts w:ascii="Arial" w:eastAsia="Arial" w:hAnsi="Arial" w:cs="Arial"/>
          <w:sz w:val="20"/>
          <w:szCs w:val="20"/>
          <w:vertAlign w:val="superscript"/>
        </w:rPr>
        <w:footnoteReference w:id="2"/>
      </w:r>
      <w:r>
        <w:rPr>
          <w:rFonts w:ascii="Arial" w:eastAsia="Arial" w:hAnsi="Arial" w:cs="Arial"/>
          <w:sz w:val="20"/>
          <w:szCs w:val="20"/>
        </w:rPr>
        <w:t>;</w:t>
      </w:r>
    </w:p>
    <w:p w14:paraId="203BF45E" w14:textId="77777777" w:rsidR="000A2305" w:rsidRDefault="00000000">
      <w:pPr>
        <w:spacing w:before="40" w:after="40"/>
        <w:ind w:left="0" w:right="-283" w:hanging="2"/>
        <w:rPr>
          <w:rFonts w:ascii="Arial" w:eastAsia="Arial" w:hAnsi="Arial" w:cs="Arial"/>
          <w:sz w:val="20"/>
          <w:szCs w:val="20"/>
        </w:rPr>
      </w:pPr>
      <w:r>
        <w:rPr>
          <w:rFonts w:ascii="Arial" w:eastAsia="Arial" w:hAnsi="Arial" w:cs="Arial"/>
          <w:sz w:val="20"/>
          <w:szCs w:val="20"/>
        </w:rPr>
        <w:t>IV.</w:t>
      </w:r>
      <w:r>
        <w:rPr>
          <w:rFonts w:ascii="Arial" w:eastAsia="Arial" w:hAnsi="Arial" w:cs="Arial"/>
          <w:sz w:val="20"/>
          <w:szCs w:val="20"/>
        </w:rPr>
        <w:tab/>
        <w:t>Riesgo y cumplimiento; y,</w:t>
      </w:r>
    </w:p>
    <w:p w14:paraId="371A877A" w14:textId="77777777" w:rsidR="000A2305" w:rsidRDefault="00000000">
      <w:pPr>
        <w:spacing w:before="40" w:after="40"/>
        <w:ind w:left="0" w:right="-283" w:hanging="2"/>
        <w:rPr>
          <w:rFonts w:ascii="Arial" w:eastAsia="Arial" w:hAnsi="Arial" w:cs="Arial"/>
          <w:sz w:val="20"/>
          <w:szCs w:val="20"/>
        </w:rPr>
      </w:pPr>
      <w:r>
        <w:rPr>
          <w:rFonts w:ascii="Arial" w:eastAsia="Arial" w:hAnsi="Arial" w:cs="Arial"/>
          <w:sz w:val="20"/>
          <w:szCs w:val="20"/>
        </w:rPr>
        <w:t xml:space="preserve">V. </w:t>
      </w:r>
      <w:r>
        <w:rPr>
          <w:rFonts w:ascii="Arial" w:eastAsia="Arial" w:hAnsi="Arial" w:cs="Arial"/>
          <w:sz w:val="20"/>
          <w:szCs w:val="20"/>
        </w:rPr>
        <w:tab/>
        <w:t>Transparencia de la información.</w:t>
      </w:r>
    </w:p>
    <w:p w14:paraId="0FCC182F" w14:textId="77777777" w:rsidR="000A2305" w:rsidRDefault="00000000">
      <w:pPr>
        <w:spacing w:before="240" w:after="120"/>
        <w:ind w:left="0" w:right="-283" w:hanging="2"/>
        <w:jc w:val="both"/>
        <w:rPr>
          <w:rFonts w:ascii="Arial" w:eastAsia="Arial" w:hAnsi="Arial" w:cs="Arial"/>
          <w:sz w:val="20"/>
          <w:szCs w:val="20"/>
        </w:rPr>
      </w:pPr>
      <w:r>
        <w:rPr>
          <w:rFonts w:ascii="Arial" w:eastAsia="Arial" w:hAnsi="Arial" w:cs="Arial"/>
          <w:sz w:val="20"/>
          <w:szCs w:val="20"/>
        </w:rPr>
        <w:t>Cada principio se evalúa en base a los siguientes parámetros:</w:t>
      </w:r>
    </w:p>
    <w:p w14:paraId="23C873C8" w14:textId="77777777" w:rsidR="000A2305" w:rsidRDefault="00000000">
      <w:pPr>
        <w:numPr>
          <w:ilvl w:val="0"/>
          <w:numId w:val="1"/>
        </w:numPr>
        <w:spacing w:before="120" w:after="120" w:line="240" w:lineRule="auto"/>
        <w:ind w:left="0" w:right="-283" w:hanging="2"/>
        <w:jc w:val="both"/>
        <w:rPr>
          <w:rFonts w:ascii="Arial" w:eastAsia="Arial" w:hAnsi="Arial" w:cs="Arial"/>
          <w:sz w:val="20"/>
          <w:szCs w:val="20"/>
        </w:rPr>
      </w:pPr>
      <w:r>
        <w:rPr>
          <w:rFonts w:ascii="Arial" w:eastAsia="Arial" w:hAnsi="Arial" w:cs="Arial"/>
          <w:b/>
          <w:i/>
          <w:sz w:val="20"/>
          <w:szCs w:val="20"/>
        </w:rPr>
        <w:t>Evaluación “cumplir o explicar”:</w:t>
      </w:r>
      <w:r>
        <w:rPr>
          <w:rFonts w:ascii="Arial" w:eastAsia="Arial" w:hAnsi="Arial" w:cs="Arial"/>
          <w:sz w:val="20"/>
          <w:szCs w:val="20"/>
        </w:rPr>
        <w:t xml:space="preserve"> se marca con un aspa (x) el nivel de cumplimiento que la Sociedad ha alcanzado, teniendo en consideración los siguientes criterios:</w:t>
      </w:r>
    </w:p>
    <w:p w14:paraId="5C0E75AE" w14:textId="77777777" w:rsidR="000A2305" w:rsidRDefault="00000000">
      <w:pPr>
        <w:pBdr>
          <w:top w:val="nil"/>
          <w:left w:val="nil"/>
          <w:bottom w:val="nil"/>
          <w:right w:val="nil"/>
          <w:between w:val="nil"/>
        </w:pBdr>
        <w:tabs>
          <w:tab w:val="left" w:pos="993"/>
          <w:tab w:val="left" w:pos="1134"/>
        </w:tabs>
        <w:spacing w:before="40" w:after="40" w:line="240" w:lineRule="auto"/>
        <w:ind w:left="0" w:right="-283" w:hanging="2"/>
        <w:jc w:val="both"/>
        <w:rPr>
          <w:rFonts w:ascii="Arial" w:eastAsia="Arial" w:hAnsi="Arial" w:cs="Arial"/>
          <w:color w:val="000000"/>
          <w:sz w:val="20"/>
          <w:szCs w:val="20"/>
        </w:rPr>
      </w:pPr>
      <w:r>
        <w:rPr>
          <w:rFonts w:ascii="Arial" w:eastAsia="Arial" w:hAnsi="Arial" w:cs="Arial"/>
          <w:color w:val="000000"/>
          <w:sz w:val="20"/>
          <w:szCs w:val="20"/>
        </w:rPr>
        <w:lastRenderedPageBreak/>
        <w:t>Si</w:t>
      </w:r>
      <w:r>
        <w:rPr>
          <w:rFonts w:ascii="Arial" w:eastAsia="Arial" w:hAnsi="Arial" w:cs="Arial"/>
          <w:color w:val="000000"/>
          <w:sz w:val="20"/>
          <w:szCs w:val="20"/>
        </w:rPr>
        <w:tab/>
        <w:t>:</w:t>
      </w:r>
      <w:r>
        <w:rPr>
          <w:rFonts w:ascii="Arial" w:eastAsia="Arial" w:hAnsi="Arial" w:cs="Arial"/>
          <w:color w:val="000000"/>
          <w:sz w:val="20"/>
          <w:szCs w:val="20"/>
        </w:rPr>
        <w:tab/>
        <w:t>Se cumple totalmente el principio.</w:t>
      </w:r>
    </w:p>
    <w:p w14:paraId="31C56CA1" w14:textId="77777777" w:rsidR="000A2305" w:rsidRDefault="00000000">
      <w:pPr>
        <w:pBdr>
          <w:top w:val="nil"/>
          <w:left w:val="nil"/>
          <w:bottom w:val="nil"/>
          <w:right w:val="nil"/>
          <w:between w:val="nil"/>
        </w:pBdr>
        <w:tabs>
          <w:tab w:val="left" w:pos="993"/>
          <w:tab w:val="left" w:pos="1134"/>
        </w:tabs>
        <w:spacing w:before="40" w:after="40" w:line="240" w:lineRule="auto"/>
        <w:ind w:left="0" w:right="-283" w:hanging="2"/>
        <w:jc w:val="both"/>
        <w:rPr>
          <w:rFonts w:ascii="Arial" w:eastAsia="Arial" w:hAnsi="Arial" w:cs="Arial"/>
          <w:color w:val="000000"/>
          <w:sz w:val="20"/>
          <w:szCs w:val="20"/>
        </w:rPr>
      </w:pPr>
      <w:r>
        <w:rPr>
          <w:rFonts w:ascii="Arial" w:eastAsia="Arial" w:hAnsi="Arial" w:cs="Arial"/>
          <w:color w:val="000000"/>
          <w:sz w:val="20"/>
          <w:szCs w:val="20"/>
        </w:rPr>
        <w:t>No</w:t>
      </w:r>
      <w:r>
        <w:rPr>
          <w:rFonts w:ascii="Arial" w:eastAsia="Arial" w:hAnsi="Arial" w:cs="Arial"/>
          <w:color w:val="000000"/>
          <w:sz w:val="20"/>
          <w:szCs w:val="20"/>
        </w:rPr>
        <w:tab/>
        <w:t>:</w:t>
      </w:r>
      <w:r>
        <w:rPr>
          <w:rFonts w:ascii="Arial" w:eastAsia="Arial" w:hAnsi="Arial" w:cs="Arial"/>
          <w:color w:val="000000"/>
          <w:sz w:val="20"/>
          <w:szCs w:val="20"/>
        </w:rPr>
        <w:tab/>
        <w:t>No se cumple el principio.</w:t>
      </w:r>
    </w:p>
    <w:p w14:paraId="7DE51CD9" w14:textId="77777777" w:rsidR="000A2305" w:rsidRDefault="00000000">
      <w:pPr>
        <w:spacing w:before="120" w:after="120"/>
        <w:ind w:left="0" w:right="-283" w:hanging="2"/>
        <w:jc w:val="both"/>
        <w:rPr>
          <w:rFonts w:ascii="Arial" w:eastAsia="Arial" w:hAnsi="Arial" w:cs="Arial"/>
          <w:sz w:val="20"/>
          <w:szCs w:val="20"/>
        </w:rPr>
      </w:pPr>
      <w:r>
        <w:rPr>
          <w:rFonts w:ascii="Arial" w:eastAsia="Arial" w:hAnsi="Arial" w:cs="Arial"/>
          <w:b/>
          <w:sz w:val="20"/>
          <w:szCs w:val="20"/>
        </w:rPr>
        <w:t>Explicación:</w:t>
      </w:r>
      <w:r>
        <w:rPr>
          <w:rFonts w:ascii="Arial" w:eastAsia="Arial" w:hAnsi="Arial" w:cs="Arial"/>
          <w:sz w:val="20"/>
          <w:szCs w:val="20"/>
        </w:rPr>
        <w:t xml:space="preserve"> en este campo la Sociedad, en caso de haber marcado la opción “No”,  debe explicar las razones por las cuales no adoptó el principio o las acciones desarrolladas que le permiten considerar un avance hacia su cumplimiento o su adopción parcial, según corresponda. Asimismo, de considerarlo necesario, en el caso de haber marcado la opción “Sí”, la Sociedad podrá brindar información acerca del cumplimiento del principio.</w:t>
      </w:r>
    </w:p>
    <w:p w14:paraId="5990B228" w14:textId="77777777" w:rsidR="000A2305" w:rsidRDefault="00000000">
      <w:pPr>
        <w:numPr>
          <w:ilvl w:val="0"/>
          <w:numId w:val="1"/>
        </w:numPr>
        <w:pBdr>
          <w:top w:val="nil"/>
          <w:left w:val="nil"/>
          <w:bottom w:val="nil"/>
          <w:right w:val="nil"/>
          <w:between w:val="nil"/>
        </w:pBdr>
        <w:spacing w:before="240" w:after="120" w:line="240" w:lineRule="auto"/>
        <w:ind w:left="0" w:right="-283" w:hanging="2"/>
        <w:jc w:val="both"/>
        <w:rPr>
          <w:rFonts w:ascii="Arial" w:eastAsia="Arial" w:hAnsi="Arial" w:cs="Arial"/>
          <w:color w:val="000000"/>
          <w:sz w:val="20"/>
          <w:szCs w:val="20"/>
        </w:rPr>
      </w:pPr>
      <w:r>
        <w:rPr>
          <w:rFonts w:ascii="Arial" w:eastAsia="Arial" w:hAnsi="Arial" w:cs="Arial"/>
          <w:b/>
          <w:i/>
          <w:color w:val="000000"/>
          <w:sz w:val="20"/>
          <w:szCs w:val="20"/>
        </w:rPr>
        <w:t xml:space="preserve">Información de sustento: </w:t>
      </w:r>
      <w:r>
        <w:rPr>
          <w:rFonts w:ascii="Arial" w:eastAsia="Arial" w:hAnsi="Arial" w:cs="Arial"/>
          <w:color w:val="000000"/>
          <w:sz w:val="20"/>
          <w:szCs w:val="20"/>
        </w:rPr>
        <w:t>se brinda información que permite conocer con mayor detalle cómo la Sociedad ha implementado el principio.</w:t>
      </w:r>
    </w:p>
    <w:p w14:paraId="1F0F9627" w14:textId="77777777" w:rsidR="000A2305" w:rsidRDefault="00000000">
      <w:pPr>
        <w:spacing w:before="240" w:after="120"/>
        <w:ind w:left="0" w:right="-283" w:hanging="2"/>
        <w:jc w:val="both"/>
        <w:rPr>
          <w:rFonts w:ascii="Arial" w:eastAsia="Arial" w:hAnsi="Arial" w:cs="Arial"/>
          <w:sz w:val="20"/>
          <w:szCs w:val="20"/>
        </w:rPr>
      </w:pPr>
      <w:r>
        <w:rPr>
          <w:rFonts w:ascii="Arial" w:eastAsia="Arial" w:hAnsi="Arial" w:cs="Arial"/>
          <w:sz w:val="20"/>
          <w:szCs w:val="20"/>
        </w:rPr>
        <w:t xml:space="preserve">En la </w:t>
      </w:r>
      <w:r>
        <w:rPr>
          <w:rFonts w:ascii="Arial" w:eastAsia="Arial" w:hAnsi="Arial" w:cs="Arial"/>
          <w:b/>
          <w:sz w:val="20"/>
          <w:szCs w:val="20"/>
        </w:rPr>
        <w:t>Sección C</w:t>
      </w:r>
      <w:r>
        <w:rPr>
          <w:rFonts w:ascii="Arial" w:eastAsia="Arial" w:hAnsi="Arial" w:cs="Arial"/>
          <w:sz w:val="20"/>
          <w:szCs w:val="20"/>
        </w:rPr>
        <w:t xml:space="preserve"> se enuncian los documentos de la Sociedad en los que se regulan las políticas, procedimientos u otros aspectos relevantes que guarden relación con los principios materia de evaluación.</w:t>
      </w:r>
    </w:p>
    <w:p w14:paraId="3400260B" w14:textId="77777777" w:rsidR="000A2305" w:rsidRDefault="00000000">
      <w:pPr>
        <w:spacing w:before="120" w:after="120"/>
        <w:ind w:left="0" w:right="-283" w:hanging="2"/>
        <w:jc w:val="both"/>
        <w:rPr>
          <w:rFonts w:ascii="Arial" w:eastAsia="Arial" w:hAnsi="Arial" w:cs="Arial"/>
          <w:sz w:val="20"/>
          <w:szCs w:val="20"/>
        </w:rPr>
      </w:pPr>
      <w:r>
        <w:rPr>
          <w:rFonts w:ascii="Arial" w:eastAsia="Arial" w:hAnsi="Arial" w:cs="Arial"/>
          <w:sz w:val="20"/>
          <w:szCs w:val="20"/>
        </w:rPr>
        <w:t xml:space="preserve">En la </w:t>
      </w:r>
      <w:r>
        <w:rPr>
          <w:rFonts w:ascii="Arial" w:eastAsia="Arial" w:hAnsi="Arial" w:cs="Arial"/>
          <w:b/>
          <w:sz w:val="20"/>
          <w:szCs w:val="20"/>
        </w:rPr>
        <w:t>Sección D</w:t>
      </w:r>
      <w:r>
        <w:rPr>
          <w:rFonts w:ascii="Arial" w:eastAsia="Arial" w:hAnsi="Arial" w:cs="Arial"/>
          <w:sz w:val="20"/>
          <w:szCs w:val="20"/>
        </w:rPr>
        <w:t xml:space="preserve"> se incluye información adicional no desarrollada en las secciones anteriores u otra información relevante, que de manera libre la Sociedad decide mencionar a fin de que los inversionistas y los diversos grupos de interés puedan tener un mayor alcance de las prácticas de buen gobierno corporativo implementadas por esta.</w:t>
      </w:r>
    </w:p>
    <w:p w14:paraId="04C03F9A" w14:textId="77777777" w:rsidR="000A2305" w:rsidRDefault="000A2305">
      <w:pPr>
        <w:spacing w:after="0" w:line="240" w:lineRule="auto"/>
        <w:ind w:left="0" w:hanging="2"/>
        <w:rPr>
          <w:rFonts w:ascii="Arial" w:eastAsia="Arial" w:hAnsi="Arial" w:cs="Arial"/>
          <w:color w:val="002060"/>
        </w:rPr>
      </w:pPr>
    </w:p>
    <w:p w14:paraId="5E54B4FC" w14:textId="77777777" w:rsidR="000A2305" w:rsidRDefault="00000000">
      <w:pPr>
        <w:spacing w:after="0" w:line="240" w:lineRule="auto"/>
        <w:ind w:left="0" w:hanging="2"/>
        <w:rPr>
          <w:rFonts w:ascii="Arial" w:eastAsia="Arial" w:hAnsi="Arial" w:cs="Arial"/>
          <w:color w:val="002060"/>
        </w:rPr>
      </w:pPr>
      <w:r>
        <w:rPr>
          <w:rFonts w:ascii="Arial" w:eastAsia="Arial" w:hAnsi="Arial" w:cs="Arial"/>
          <w:b/>
          <w:color w:val="002060"/>
        </w:rPr>
        <w:t>SECCIÓN A:</w:t>
      </w:r>
    </w:p>
    <w:p w14:paraId="72B010AB" w14:textId="77777777" w:rsidR="000A2305" w:rsidRDefault="000A2305">
      <w:pPr>
        <w:spacing w:after="0" w:line="240" w:lineRule="auto"/>
        <w:ind w:left="0" w:hanging="2"/>
        <w:rPr>
          <w:rFonts w:ascii="Arial" w:eastAsia="Arial" w:hAnsi="Arial" w:cs="Arial"/>
          <w:color w:val="002060"/>
        </w:rPr>
      </w:pPr>
    </w:p>
    <w:p w14:paraId="677C6A41" w14:textId="77777777" w:rsidR="000A2305" w:rsidRDefault="00000000">
      <w:pPr>
        <w:spacing w:after="0"/>
        <w:ind w:left="0" w:hanging="2"/>
        <w:jc w:val="both"/>
        <w:rPr>
          <w:rFonts w:ascii="Arial" w:eastAsia="Arial" w:hAnsi="Arial" w:cs="Arial"/>
        </w:rPr>
      </w:pPr>
      <w:r>
        <w:rPr>
          <w:rFonts w:ascii="Arial" w:eastAsia="Arial" w:hAnsi="Arial" w:cs="Arial"/>
          <w:b/>
        </w:rPr>
        <w:t>Carta de Presentación</w:t>
      </w:r>
    </w:p>
    <w:p w14:paraId="2B051C73" w14:textId="77777777" w:rsidR="000A2305" w:rsidRDefault="00000000">
      <w:pPr>
        <w:pBdr>
          <w:top w:val="nil"/>
          <w:left w:val="nil"/>
          <w:bottom w:val="nil"/>
          <w:right w:val="nil"/>
          <w:between w:val="nil"/>
        </w:pBdr>
        <w:spacing w:before="120" w:after="0"/>
        <w:ind w:left="0" w:right="-255" w:hanging="2"/>
        <w:jc w:val="both"/>
        <w:rPr>
          <w:rFonts w:ascii="Arial" w:eastAsia="Arial" w:hAnsi="Arial" w:cs="Arial"/>
          <w:color w:val="000000"/>
        </w:rPr>
      </w:pPr>
      <w:r>
        <w:rPr>
          <w:rFonts w:ascii="Arial" w:eastAsia="Arial" w:hAnsi="Arial" w:cs="Arial"/>
          <w:color w:val="000000"/>
        </w:rPr>
        <w:t>La aplicación del Buen Gobierno Corporativo representa para las empresas, una ventaja competitiva y un elemento estratégico de suma importancia, pues agrega valor, rentabilidad y transparencia a la sociedad y grupo de interés, generando el grado necesario de confianza para el funcionamiento correcto del negocio, contribuyendo a la economía de mercado.</w:t>
      </w:r>
    </w:p>
    <w:p w14:paraId="7E2143A3" w14:textId="77777777" w:rsidR="000A2305" w:rsidRDefault="000A2305">
      <w:pPr>
        <w:pBdr>
          <w:top w:val="nil"/>
          <w:left w:val="nil"/>
          <w:bottom w:val="nil"/>
          <w:right w:val="nil"/>
          <w:between w:val="nil"/>
        </w:pBdr>
        <w:spacing w:after="0"/>
        <w:ind w:left="0" w:right="-255" w:hanging="2"/>
        <w:jc w:val="both"/>
        <w:rPr>
          <w:rFonts w:ascii="Arial" w:eastAsia="Arial" w:hAnsi="Arial" w:cs="Arial"/>
          <w:color w:val="000000"/>
        </w:rPr>
      </w:pPr>
    </w:p>
    <w:p w14:paraId="5D2CB894" w14:textId="77777777" w:rsidR="000A2305" w:rsidRDefault="00000000">
      <w:pPr>
        <w:pBdr>
          <w:top w:val="nil"/>
          <w:left w:val="nil"/>
          <w:bottom w:val="nil"/>
          <w:right w:val="nil"/>
          <w:between w:val="nil"/>
        </w:pBdr>
        <w:spacing w:after="0"/>
        <w:ind w:left="0" w:right="-255" w:hanging="2"/>
        <w:jc w:val="both"/>
        <w:rPr>
          <w:rFonts w:ascii="Arial" w:eastAsia="Arial" w:hAnsi="Arial" w:cs="Arial"/>
          <w:color w:val="000000"/>
        </w:rPr>
      </w:pPr>
      <w:r>
        <w:rPr>
          <w:rFonts w:ascii="Arial" w:eastAsia="Arial" w:hAnsi="Arial" w:cs="Arial"/>
          <w:color w:val="000000"/>
        </w:rPr>
        <w:t xml:space="preserve">En </w:t>
      </w:r>
      <w:r>
        <w:rPr>
          <w:rFonts w:ascii="Arial" w:eastAsia="Arial" w:hAnsi="Arial" w:cs="Arial"/>
        </w:rPr>
        <w:t>mérito</w:t>
      </w:r>
      <w:r>
        <w:rPr>
          <w:rFonts w:ascii="Arial" w:eastAsia="Arial" w:hAnsi="Arial" w:cs="Arial"/>
          <w:color w:val="000000"/>
        </w:rPr>
        <w:t xml:space="preserve"> a lo indicado, el Banco de Comercio desde hace varios años, se encuentra trabajando constantemente en el cumplimiento pleno de los principios del Buen Gobierno Corporativo (BGC), con el objetivo de guiar el accionar de los órganos de gobierno de la sociedad, incorporando estos principios en su estructura orgánica y funcional, fomentando, fortaleciendo y preservando una cultura basada en la transparencia empresarial, realizando una constante revisión de sus normas internas, procesos y procedimientos con ese fin.</w:t>
      </w:r>
    </w:p>
    <w:p w14:paraId="17B1E30E" w14:textId="77777777" w:rsidR="000A2305" w:rsidRDefault="000A2305">
      <w:pPr>
        <w:pBdr>
          <w:top w:val="nil"/>
          <w:left w:val="nil"/>
          <w:bottom w:val="nil"/>
          <w:right w:val="nil"/>
          <w:between w:val="nil"/>
        </w:pBdr>
        <w:spacing w:after="0"/>
        <w:ind w:left="0" w:right="-255" w:hanging="2"/>
        <w:jc w:val="both"/>
        <w:rPr>
          <w:rFonts w:ascii="Arial" w:eastAsia="Arial" w:hAnsi="Arial" w:cs="Arial"/>
          <w:color w:val="000000"/>
        </w:rPr>
      </w:pPr>
    </w:p>
    <w:p w14:paraId="1E604909" w14:textId="77777777" w:rsidR="000A2305" w:rsidRDefault="000A2305">
      <w:pPr>
        <w:pBdr>
          <w:top w:val="nil"/>
          <w:left w:val="nil"/>
          <w:bottom w:val="nil"/>
          <w:right w:val="nil"/>
          <w:between w:val="nil"/>
        </w:pBdr>
        <w:spacing w:after="120" w:line="240" w:lineRule="auto"/>
        <w:ind w:left="0" w:right="-255" w:hanging="2"/>
        <w:jc w:val="both"/>
        <w:rPr>
          <w:color w:val="000000"/>
        </w:rPr>
      </w:pPr>
    </w:p>
    <w:sectPr w:rsidR="000A2305">
      <w:pgSz w:w="11906" w:h="16838"/>
      <w:pgMar w:top="1276"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DD394F" w14:textId="77777777" w:rsidR="00C11017" w:rsidRDefault="00C11017">
      <w:pPr>
        <w:spacing w:after="0" w:line="240" w:lineRule="auto"/>
        <w:ind w:left="0" w:hanging="2"/>
      </w:pPr>
      <w:r>
        <w:separator/>
      </w:r>
    </w:p>
  </w:endnote>
  <w:endnote w:type="continuationSeparator" w:id="0">
    <w:p w14:paraId="7C00DED7" w14:textId="77777777" w:rsidR="00C11017" w:rsidRDefault="00C11017">
      <w:pPr>
        <w:spacing w:after="0"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0B0374" w14:textId="77777777" w:rsidR="00C11017" w:rsidRDefault="00C11017">
      <w:pPr>
        <w:spacing w:after="0" w:line="240" w:lineRule="auto"/>
        <w:ind w:left="0" w:hanging="2"/>
      </w:pPr>
      <w:r>
        <w:separator/>
      </w:r>
    </w:p>
  </w:footnote>
  <w:footnote w:type="continuationSeparator" w:id="0">
    <w:p w14:paraId="672BC2A1" w14:textId="77777777" w:rsidR="00C11017" w:rsidRDefault="00C11017">
      <w:pPr>
        <w:spacing w:after="0" w:line="240" w:lineRule="auto"/>
        <w:ind w:left="0" w:hanging="2"/>
      </w:pPr>
      <w:r>
        <w:continuationSeparator/>
      </w:r>
    </w:p>
  </w:footnote>
  <w:footnote w:id="1">
    <w:p w14:paraId="27EC4BFE" w14:textId="77777777" w:rsidR="000A2305" w:rsidRDefault="00000000">
      <w:pPr>
        <w:pBdr>
          <w:top w:val="nil"/>
          <w:left w:val="nil"/>
          <w:bottom w:val="nil"/>
          <w:right w:val="nil"/>
          <w:between w:val="nil"/>
        </w:pBdr>
        <w:spacing w:after="0" w:line="240" w:lineRule="auto"/>
        <w:ind w:left="0" w:right="-425" w:hanging="2"/>
        <w:jc w:val="both"/>
        <w:rPr>
          <w:rFonts w:ascii="Times New Roman" w:eastAsia="Times New Roman" w:hAnsi="Times New Roman" w:cs="Times New Roman"/>
          <w:color w:val="000000"/>
          <w:sz w:val="20"/>
          <w:szCs w:val="20"/>
        </w:rPr>
      </w:pPr>
      <w:r>
        <w:rPr>
          <w:vertAlign w:val="superscript"/>
        </w:rPr>
        <w:footnoteRef/>
      </w:r>
      <w:r>
        <w:rPr>
          <w:rFonts w:ascii="Arial" w:eastAsia="Arial" w:hAnsi="Arial" w:cs="Arial"/>
          <w:color w:val="000000"/>
          <w:sz w:val="16"/>
          <w:szCs w:val="16"/>
        </w:rPr>
        <w:t xml:space="preserve"> </w:t>
      </w:r>
      <w:r>
        <w:rPr>
          <w:rFonts w:ascii="Arial" w:eastAsia="Arial" w:hAnsi="Arial" w:cs="Arial"/>
          <w:color w:val="000000"/>
          <w:sz w:val="16"/>
          <w:szCs w:val="16"/>
        </w:rPr>
        <w:tab/>
        <w:t xml:space="preserve">El </w:t>
      </w:r>
      <w:r>
        <w:rPr>
          <w:rFonts w:ascii="Arial" w:eastAsia="Arial" w:hAnsi="Arial" w:cs="Arial"/>
          <w:i/>
          <w:color w:val="000000"/>
          <w:sz w:val="16"/>
          <w:szCs w:val="16"/>
        </w:rPr>
        <w:t>Código de Buen Gobierno Corporativo para las Sociedades Peruanas (2013)</w:t>
      </w:r>
      <w:r>
        <w:rPr>
          <w:rFonts w:ascii="Arial" w:eastAsia="Arial" w:hAnsi="Arial" w:cs="Arial"/>
          <w:color w:val="000000"/>
          <w:sz w:val="16"/>
          <w:szCs w:val="16"/>
        </w:rPr>
        <w:t xml:space="preserve"> puede ser consultado en la sección Orientación – Gobierno Corporativo del Portal del Mercado de Valores </w:t>
      </w:r>
      <w:hyperlink r:id="rId1">
        <w:r w:rsidR="000A2305">
          <w:rPr>
            <w:rFonts w:ascii="Times New Roman" w:eastAsia="Times New Roman" w:hAnsi="Times New Roman" w:cs="Times New Roman"/>
            <w:color w:val="0000FF"/>
            <w:sz w:val="16"/>
            <w:szCs w:val="16"/>
            <w:u w:val="single"/>
          </w:rPr>
          <w:t>www.smv.gob.pe</w:t>
        </w:r>
      </w:hyperlink>
      <w:r>
        <w:rPr>
          <w:rFonts w:ascii="Arial" w:eastAsia="Arial" w:hAnsi="Arial" w:cs="Arial"/>
          <w:color w:val="000000"/>
          <w:sz w:val="16"/>
          <w:szCs w:val="16"/>
        </w:rPr>
        <w:t xml:space="preserve">. </w:t>
      </w:r>
    </w:p>
  </w:footnote>
  <w:footnote w:id="2">
    <w:p w14:paraId="2F2C18A1" w14:textId="77777777" w:rsidR="000A2305" w:rsidRDefault="00000000">
      <w:pPr>
        <w:pBdr>
          <w:top w:val="nil"/>
          <w:left w:val="nil"/>
          <w:bottom w:val="nil"/>
          <w:right w:val="nil"/>
          <w:between w:val="nil"/>
        </w:pBdr>
        <w:spacing w:after="120" w:line="240" w:lineRule="auto"/>
        <w:ind w:left="0" w:right="-425" w:hanging="2"/>
        <w:jc w:val="both"/>
        <w:rPr>
          <w:rFonts w:ascii="Times New Roman" w:eastAsia="Times New Roman" w:hAnsi="Times New Roman" w:cs="Times New Roman"/>
          <w:color w:val="000000"/>
          <w:sz w:val="20"/>
          <w:szCs w:val="20"/>
        </w:rPr>
      </w:pPr>
      <w:r>
        <w:rPr>
          <w:vertAlign w:val="superscript"/>
        </w:rPr>
        <w:footnoteRef/>
      </w:r>
      <w:r>
        <w:rPr>
          <w:rFonts w:ascii="Arial" w:eastAsia="Arial" w:hAnsi="Arial" w:cs="Arial"/>
          <w:color w:val="000000"/>
          <w:sz w:val="16"/>
          <w:szCs w:val="16"/>
        </w:rPr>
        <w:t xml:space="preserve"> </w:t>
      </w:r>
      <w:r>
        <w:rPr>
          <w:rFonts w:ascii="Arial" w:eastAsia="Arial" w:hAnsi="Arial" w:cs="Arial"/>
          <w:color w:val="000000"/>
          <w:sz w:val="16"/>
          <w:szCs w:val="16"/>
        </w:rPr>
        <w:tab/>
        <w:t>El vocablo “Alta Gerencia” comprende al gerente general y demás gerentes.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122D3"/>
    <w:multiLevelType w:val="multilevel"/>
    <w:tmpl w:val="5E984F8C"/>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16cid:durableId="884307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2305"/>
    <w:rsid w:val="000A2305"/>
    <w:rsid w:val="001C1F83"/>
    <w:rsid w:val="00C11017"/>
    <w:rsid w:val="00C45B6B"/>
    <w:rsid w:val="00DE2B18"/>
    <w:rsid w:val="00F855E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7AC48F"/>
  <w15:docId w15:val="{53155C19-E382-44CA-9525-E39D574349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ES" w:eastAsia="es-PE"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ind w:leftChars="-1" w:left="-1" w:hangingChars="1" w:hanging="1"/>
      <w:textDirection w:val="btLr"/>
      <w:textAlignment w:val="top"/>
      <w:outlineLvl w:val="0"/>
    </w:pPr>
    <w:rPr>
      <w:position w:val="-1"/>
      <w:lang w:eastAsia="en-US"/>
    </w:rPr>
  </w:style>
  <w:style w:type="paragraph" w:styleId="Ttulo1">
    <w:name w:val="heading 1"/>
    <w:basedOn w:val="Normal"/>
    <w:next w:val="Normal"/>
    <w:uiPriority w:val="9"/>
    <w:qFormat/>
    <w:pPr>
      <w:keepNext/>
      <w:keepLines/>
      <w:spacing w:before="480" w:after="12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Prrafodelista">
    <w:name w:val="List Paragraph"/>
    <w:basedOn w:val="Normal"/>
    <w:pPr>
      <w:spacing w:before="120" w:after="120" w:line="240" w:lineRule="auto"/>
      <w:ind w:left="720" w:hanging="284"/>
      <w:jc w:val="both"/>
    </w:pPr>
    <w:rPr>
      <w:lang w:val="es-PE"/>
    </w:rPr>
  </w:style>
  <w:style w:type="character" w:styleId="Refdenotaalpie">
    <w:name w:val="footnote reference"/>
    <w:rPr>
      <w:w w:val="100"/>
      <w:position w:val="-1"/>
      <w:effect w:val="none"/>
      <w:vertAlign w:val="superscript"/>
      <w:cs w:val="0"/>
      <w:em w:val="none"/>
    </w:rPr>
  </w:style>
  <w:style w:type="paragraph" w:styleId="Textonotapie">
    <w:name w:val="footnote text"/>
    <w:basedOn w:val="Normal"/>
    <w:pPr>
      <w:spacing w:after="0" w:line="240" w:lineRule="auto"/>
    </w:pPr>
    <w:rPr>
      <w:rFonts w:ascii="Times New Roman" w:eastAsia="Times New Roman" w:hAnsi="Times New Roman"/>
      <w:sz w:val="20"/>
      <w:szCs w:val="20"/>
    </w:rPr>
  </w:style>
  <w:style w:type="character" w:customStyle="1" w:styleId="TextonotapieCar">
    <w:name w:val="Texto nota pie Car"/>
    <w:rPr>
      <w:rFonts w:ascii="Times New Roman" w:eastAsia="Times New Roman" w:hAnsi="Times New Roman"/>
      <w:w w:val="100"/>
      <w:position w:val="-1"/>
      <w:effect w:val="none"/>
      <w:vertAlign w:val="baseline"/>
      <w:cs w:val="0"/>
      <w:em w:val="none"/>
    </w:rPr>
  </w:style>
  <w:style w:type="character" w:styleId="Hipervnculo">
    <w:name w:val="Hyperlink"/>
    <w:rPr>
      <w:color w:val="0000FF"/>
      <w:w w:val="100"/>
      <w:position w:val="-1"/>
      <w:u w:val="single"/>
      <w:effect w:val="none"/>
      <w:vertAlign w:val="baseline"/>
      <w:cs w:val="0"/>
      <w:em w:val="none"/>
    </w:rPr>
  </w:style>
  <w:style w:type="paragraph" w:customStyle="1" w:styleId="Prrafodelista1">
    <w:name w:val="Párrafo de lista1"/>
    <w:basedOn w:val="Normal"/>
    <w:pPr>
      <w:spacing w:before="120" w:after="120" w:line="240" w:lineRule="auto"/>
      <w:ind w:left="720" w:hanging="284"/>
      <w:jc w:val="both"/>
    </w:pPr>
    <w:rPr>
      <w:lang w:val="es-PE"/>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smv.gob.p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f+OHdI565E7sQyT8k5Ok9AhZ0hQ==">CgMxLjAyCWlkLmdqZGd4czgAciExZnhxWUw0OWtGZEwtU2otWGZLZW1FYWpLUVVzQVJBcGk=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644</Words>
  <Characters>3542</Characters>
  <Application>Microsoft Office Word</Application>
  <DocSecurity>0</DocSecurity>
  <Lines>29</Lines>
  <Paragraphs>8</Paragraphs>
  <ScaleCrop>false</ScaleCrop>
  <Company/>
  <LinksUpToDate>false</LinksUpToDate>
  <CharactersWithSpaces>4178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scanote</dc:creator>
  <cp:lastModifiedBy>Rojas Delgado Christian Ludwing</cp:lastModifiedBy>
  <cp:revision>3</cp:revision>
  <dcterms:created xsi:type="dcterms:W3CDTF">2024-02-06T01:38:00Z</dcterms:created>
  <dcterms:modified xsi:type="dcterms:W3CDTF">2025-02-12T23:23:00Z</dcterms:modified>
</cp:coreProperties>
</file>